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O B R A Z L O 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Ž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 NJ E</w:t>
      </w: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OSNOVNI CILJEVI RAZVOJA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GRADA  NOVOG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PAZARA</w:t>
      </w: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U   2023.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GODINI</w:t>
      </w: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>PARAMETRI ZA IZRADU NACRTA PRVE IZMENE BUDŽETA ZA 2023.GODINU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Prilikom izrade Prve izmene budžeta grada Novog Pazara za 2023.godinu parametri kojima smo se rukovodili su izvršenje tekućih prihoda za prva dva meseca 2023.godine (Januar i Februar)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napomenom da su ova dva meseca kao parameter sa najslabijim procentom izvršenja u odnosu na druge mesece u toku godine.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</w:rPr>
        <w:t>Ukupno planirani Tekući prihodi iznose 3.528.000.000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dinara a ostvareni 625.158.000,00 dinara ili 18 % što je za 2% više od idealno planiranih prihoda.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Planirani tekući prihodi su za 11,05% veći u odnosu na ostvareni u 2022.godini koji su iznosioli 3.138.137.000,00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>NAPOMENA: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    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Prema zvaničnim podacima iz ISIB-a ukupno ostvareni tekući prihodi za 2022.godinu iznose 3.138.137.000,00 dinara. Prema podacima kojima Vi raspolažete naši ukopno ostvareni tekući prihodi iznose 2.995.405.131,38 dinara. Do razlike u ukupno ostvarenim tekućim prihodima u iznosu od 142.731.869,00 dinara došlo je zbog toga što ste Vi presek stanja izvršili 06.01.2023.g a mi smo 13.01.2023.g izvršili sravnjenje neprepoznatih uplata što je rezultiralo uvećanjem u prethodno navedenom iznosu.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Iz svega prethodno navedenog uvećanje planiranih tekućih prihoda za 2023.godinu iznosi 371.737.000,00 dinara ili 11.05% a ne 14,5%.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>Analiza po kontima izgleda ovako: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713–Porez na imovinu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– Nacrtom prve izmene za 2023 godinuplanirani iznos je 475.000.000,00 dinara, a izvršenje je 71.606.000,00 dinara u periodu 01.01.2023.g. - 28.02.2023.g. i iznosi 15,07% što je u granicama 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planiranog iznosa.Planirani prihod je za 8,5% veći u odnosu na ostvareni u 2022.godini koji je iznosio 434.562.000,00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sz w:val="24"/>
          <w:szCs w:val="24"/>
          <w:lang w:val="de-DE"/>
        </w:rPr>
        <w:t>Napomena: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Prema izvestaju o godisnjem radu GRADSKE UPRAVE ZA NAPLATU JAVNIH PRIHODA GRADA NOVOG PAZARA ZA 2022. GODINU, evidentno je da je usvojen predlog o povecanju cena za 5%. Takodje je evidentno da je povecan obuhvat stanbeno-poslovnog prostora za dodatnih 46.833m2, sto predstavlja realno i znatno uvecanje ocekivanih prihoda.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714 –Porez na dobra i usluge - 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>Nacrtom prve izmene za 2023 godinu planirani iznos je 149.200.000,00 dinara, a izvršenje je 25.577.000,00 dinara u periodu 01.01.2023.g. - 28.02.2023.g. i znosi 17,14% što je u granicama planiranog iznosa . Planirani prihod je za 11,78% veći u odnosu na ostvareni u 2022.godini koji je iznosio 131.629.000,00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716 –Drugi porezi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 Nacrtom prve izmene za 2023 godinu planirani iznos je 80.000.000,00 dinara, a izvršenje je 13.557.000,00 dinara u periodu 01.01.2023.g. - 28.02.2023.g. i iznosi 16,95% što je u granicama planiranog iznosa . Planirani prihod je za 12,58% veći u odnosu na ostvareni u 2022.godini koji je iznosio 69.939.000,00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732- Donacije i pomoći od međunarodnih organizacija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 Nacrtom prve izmene planirani iznos je 51.500.000,00 dinara, a izvršenje je 1.194.150,00 dinara u periodu 01.01.2023.g. - 28.02.2023.g. i iznosi 3, 5% što je u granicama planiranog iznosa. Planirani prihod je za 31,8%veći u odnosu na ostvareni u 2022.godini koji je iznosio 16.407.683,13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Napomena </w:t>
      </w:r>
      <w:r w:rsidRPr="00C35CE5">
        <w:rPr>
          <w:rFonts w:ascii="Times New Roman" w:hAnsi="Times New Roman" w:cs="Times New Roman"/>
          <w:bCs/>
          <w:sz w:val="24"/>
          <w:szCs w:val="24"/>
        </w:rPr>
        <w:t>: Uvećanje prihoda ekonomske klasifikacije 732 je izvršeno na osnovu zaključenog ugovora između Grada Novog Pazara I Inicijative za razvoj I saradnju u iznosu od 310.000 EUR, kao i aneksa Ugovora sa UNOPS-om u ioznosu od 296.445,32 USD za rekonstrukciju Hercegovačke ulice u Novom Pazaru.</w:t>
      </w:r>
    </w:p>
    <w:p w:rsidR="00FE0ACB" w:rsidRPr="00C35CE5" w:rsidRDefault="00FE0ACB" w:rsidP="00FE0AC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Ugovor sa IDC u iznosu od 310.000 EUR overa broj 401 432/22 od 07.09.2022.godine.Cilj projekta (održivi razvoj povratnika i lokalno ugroženog stanovništva u centralnoj i južnoj Srbiji.</w:t>
      </w:r>
    </w:p>
    <w:p w:rsidR="00FE0ACB" w:rsidRPr="00C35CE5" w:rsidRDefault="00FE0ACB" w:rsidP="00FE0AC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Ugovor sa UNOPS-om u iznosu od 296.445,32 USD zakljućen 22.11.2022. godine između UNOPS-a i Grada Novog Pazara. Cilj projekta rekonstrukcija Hercegovačke ulice u Novom Pazaru gde se realizacija planira za ovu godinu.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733- Transferi od drugih nivoa vlasti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 Nacrtom prve izmene za planirani iznos je 660.000.000,00 dinara a izvršenje je 104.474.000,00 dinara u periodu 01.01.2023.g. - 28.02.2023.g. i iznosi 15,83 % što je u granicama 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planiranog iznosa . Planirani prihod je za 28,55% manji u odnosu na ostvareni u 2022.godini koji je iznosio 848.413.000,00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741- Prihodi od imovine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 Nacrtom prve izmene za 2023. godinu planirani iznos je 688.000.000,00 dinara a izvršenje je 207.248.000,00 dinara u periodu 01.01.2023.g. - 28.02.2023.g. i iznosi 30,12 % što je u granicama planiranog iznosa . Planirani prihod je za 46% veći u odnosu na ostvareni u 2022.godini koji je iznosio 371.543.000,00 dinara. 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>Napomena: Prema nama dostavljenoj zvanicnoj evidenciji obracunatih i izdatih racuna u 2022. godini, sa ocekivanom naplatom u 2023. godini, na ime doprinosa za uredjenje gradjevinkog zemljista (741538), dostavljamo sledece podatke na osnovu kojih smo se rukovidili prilikom planiranja: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DEDIC DOO, Ul. Sabana Koce, PGR:214/14, povrseine 1.413m2, iznos od 8.279.700,18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HS INVEST GRADNJA, Ul, 1 Maj, PGR:5/14, povrsine 5.100m2, iznos od 38.445.378,52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IKAN 2013, Ljubljanska, PGR:214/14, povrsine 5.105m2, iznos od 33.353.000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IMOBILIEN BAU, Ul. Kosanciceva, PGR:5/14, povrsine 4.016m2, iznos od 25.000.000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KACAPOR DJONDIC I OST, Ul. Njegoseva, PGR:2 i 4/14, povrsine 5.319m2, iznos 33.822.000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MUSIC INVEST, Ul, Sabana Koce, PGR:2/14, povrsine 4.905m2, iznos od 29.500.000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DEDIC PROM, Ul. Stevana Nemanje, PGR:2/14, povrsine 4.660m2, iznos od 21.332.000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ASA INVEST, Ul. Stevana nemanje, PGR:2/14, povrsine 4.900m2, iznos od 26.400.000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DOMNEZ INSAT, Ul. Osmana Djikica, PGR:5/14, povrsine 2.590m2, iznos od 7.221.000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IDEA LUX, Ul. Rasima Halilovica, PGR:5/14, POVRSINE 676m2, iznos od 3.348.000 rsd.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BIRSENA BAJRAMOVIC, Ul. Stana Bacanin-8Mart, PGR:2/14, povrsine 12.198m2, iznos od 81.112.000 rsd,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DELIC IZGRADNJA, Ul. Oslobodjenja, PGR:5/14, povrsine 5784, iznos od 51.320.000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DACIC PROM, Ul. Oslobodjenja, PGR:5/14, povrsine 11.291m2, iznos od 62.194.000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DAMAS INVEST, Ul. Gojka Bacanina, PGR 2 i 4/14, povrsine 12.888m2, iznos od 58.104.000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KONSTANIN JOVANOVIC, Ul. Relje Krilatice, PGR:2 i 4/14, povrsine 12.243m2, iznos od 76.912.000 rsd</w:t>
      </w:r>
    </w:p>
    <w:p w:rsidR="00FE0ACB" w:rsidRPr="00C35CE5" w:rsidRDefault="00FE0ACB" w:rsidP="00FE0AC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KOSANCICEVA INVEST, Ul. Kosanciceva, PGR 5/14, povrsine 13.250m2, iznos od 120.823.000 rsd...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C35CE5">
        <w:rPr>
          <w:rFonts w:ascii="Times New Roman" w:hAnsi="Times New Roman" w:cs="Times New Roman"/>
          <w:bCs/>
          <w:sz w:val="24"/>
          <w:szCs w:val="24"/>
        </w:rPr>
        <w:t xml:space="preserve">U pitanju je deo evidentiranih komunalnih neplacenih obaveza, koji se prevashodno odnose </w:t>
      </w:r>
      <w:proofErr w:type="gramStart"/>
      <w:r w:rsidRPr="00C35CE5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Pr="00C35CE5">
        <w:rPr>
          <w:rFonts w:ascii="Times New Roman" w:hAnsi="Times New Roman" w:cs="Times New Roman"/>
          <w:bCs/>
          <w:sz w:val="24"/>
          <w:szCs w:val="24"/>
        </w:rPr>
        <w:t xml:space="preserve"> vece investicije. 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742 - Prihodi od prodaje dobara i usluga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 Nacrtom prve izmene planirani iznos je 70.100.000,00 dinara a izvršenje je 11.234.000,00 dinara u periodu 01.01.2023.g. - 28.02.2023.g. i iznosi 16,03 % što je u granicama planiranog iznosa. Planirani prihod je za 11,82% veći u odnosu na ostvareni u 2022.godini koji je iznosio 61.647.258,64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>743 - Novčane kazne i oduzeta imovinska korist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 Nacrtom prve izmene za 2023.godinu planirani iznos je 38.700.000,00 dinara a izvršenje je 6.363.000,00 dinara u periodu 01.01.2023.g. - 28.02.2023.g. i iznosi 16,44 % što je u granicama planiranog iznosa. Planirani prihod je za 3,33% manji u odnosu na ostvareni u 2022.godini koji je iznosio 39.983.000,00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745 – Mešoviti i neodređeni prihodi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 Nacrtom prve izmene za 2023.godinu planirani iznos je 8.500.000,00 dinara a izvršenje je 1.421.000,00 dinara u periodu 01.01.2023.g. - 28.02.2023.g. i iznosi 16,72 % što je u granicama planiranog iznosa. Planirani prihod je za 1,94% veći u odnosu na ostvareni u 2022.godini koji je iznosio 7.495.000,00 dinara.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RASHODI</w:t>
      </w:r>
    </w:p>
    <w:p w:rsidR="00FE0ACB" w:rsidRPr="00C35CE5" w:rsidRDefault="00FE0ACB" w:rsidP="00FE0A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FE0ACB" w:rsidRPr="00C35CE5" w:rsidRDefault="00FE0ACB" w:rsidP="00FE0ACB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>Uvećanje grupe konta 411- Plate ,dodaci  i naknade zaposlenih i 412- Socijalni doprinosi na teret poslodavca uvećano je preko limita zbog :</w:t>
      </w:r>
    </w:p>
    <w:p w:rsidR="00FE0ACB" w:rsidRPr="00C35CE5" w:rsidRDefault="00FE0ACB" w:rsidP="00FE0AC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U 2022.godini isplaćeni su doprinosi za jedanaest meseci. Tako da smo tu obavezu preneli u planu za 2023.godinu.</w:t>
      </w:r>
    </w:p>
    <w:p w:rsidR="00FE0ACB" w:rsidRPr="00C35CE5" w:rsidRDefault="00FE0ACB" w:rsidP="00FE0AC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CE5">
        <w:rPr>
          <w:rFonts w:ascii="Times New Roman" w:hAnsi="Times New Roman"/>
          <w:bCs/>
          <w:sz w:val="24"/>
          <w:szCs w:val="24"/>
        </w:rPr>
        <w:t>Formirana je komunalna policija krajem prošle godine sa novih 9 stalno zapošljenih i 6 na određeno vreme ,pa je samim tim došlo do uvećanje mase zarada preko dozvoljenog limita od 12,5%</w:t>
      </w: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Vlada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je ,krajem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2015.godine, usvojila Program reforme upravljanja javnim finansijama za period od 2016.god.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2020.godine, kojim su  predviđene smernice za reformu upravljanja javnim finansijama, gde je unapređenje budžetskog procesa, kroz primenu programskog budžetiranja, deo navedene reforme. Pomenuta reforma stavlja naglasak na utvrđivanju prioriteta i optimizaciju potrošnje u cilju podsticanja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privrednog  rasta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i efikasnog pružanja kvalitetnih usluga javne uprave.</w:t>
      </w: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Programski budžet, kao jedan od mehanizama za sprovođenje navedene reforme upravljanja javnim finansijama, omogućava bolje upravljanje učinkom javne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uprave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veću odgovornost korisnika budžeta, uspostavljanje snažnijih veza između godišnjih budžeta , utvrđivanje prioritetnih rashoda i izdataka kao i veću transparentnost potrošnje.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U okviru sprovođenja reforme javnih finansija, započet je proces unapređenja programskog modela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budžeta  kroz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uvođenje principa rodno odgovornog budžetiranja u budžetski proces. Do 2020.godine predviđeno je da se zaokruži proces postepenog uvođenja rodno odgovornog budžetiranja za sve budžetske korisnike na svim </w:t>
      </w:r>
      <w:r w:rsidRPr="00C35CE5">
        <w:rPr>
          <w:rFonts w:ascii="Times New Roman" w:hAnsi="Times New Roman" w:cs="Times New Roman"/>
          <w:sz w:val="24"/>
          <w:szCs w:val="24"/>
        </w:rPr>
        <w:lastRenderedPageBreak/>
        <w:t xml:space="preserve">nivoima.Uvodi se izrada građanskog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budžeta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kao instrument za povećanje transparentnog iskazivanja na koji način i u koje svrhe se koriste javna sredstva.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Budžetski korisnici su u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obavezi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od 2020.godine , da prate sprovođenje programa  kroz  polugodišnje i godišnje izveštavanje o učinku programa.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>Osnove makroekonomske politike za 2023.godinu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344"/>
        <w:gridCol w:w="2035"/>
        <w:gridCol w:w="1625"/>
      </w:tblGrid>
      <w:tr w:rsidR="00FE0ACB" w:rsidRPr="00C35CE5" w:rsidTr="000674C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FE0ACB" w:rsidRPr="00C35CE5" w:rsidTr="000674C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BDP, mlrd RSD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7082,5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8025,1</w:t>
            </w:r>
          </w:p>
        </w:tc>
      </w:tr>
      <w:tr w:rsidR="00FE0ACB" w:rsidRPr="00C35CE5" w:rsidTr="000674C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Stopa nominalnog rasta BDP,%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FE0ACB" w:rsidRPr="00C35CE5" w:rsidTr="000674C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Stopa realnog rasta BDP,%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FE0ACB" w:rsidRPr="00C35CE5" w:rsidTr="000674C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Inflacija,prosek perioda,%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</w:tr>
      <w:tr w:rsidR="00FE0ACB" w:rsidRPr="00C35CE5" w:rsidTr="000674C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Ključni doprinos boljem rezultatu je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prihodnoj strani. U najvećoj meri kod doprinosa I poreza na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zarade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poreza na dobit i neporeskih prihoda. Izvršenje rashoda u ovoj godini biće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nivou plana.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Kapitalni rashodi su kategorija koja beleži najznačajnije izvršenje preko plana.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>Srednjoročni fiskalni okvir predviđa postepeno smanjenje deficita opšte države na nivou 1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% BDP-a do 2025.godine I pad učešća javnog duga na 54,0% BDP-a. U 2023-2025.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godini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predviđen je deficit u iznosu od 3,3% BDP-a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Raspoloživ fiskalni prostor u 2023.godini biće opredeljen za nastavak ulaganja u kapitalne investicije I zdrastveni sistem umereno povećanje penzija I plata u javnom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sektoru  kao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I nastavak poreskog rasterećenja u privredi.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Obim rashoda i izdataka mora se,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takođe  realno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planirati, polazeći od njihovog izvršenja u prethodnoj godini uz maksimalne uštede: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0ACB" w:rsidRPr="00C35CE5" w:rsidRDefault="00FE0ACB" w:rsidP="00FE0A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C35CE5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FE0ACB" w:rsidRPr="00C35CE5" w:rsidRDefault="00FE0ACB" w:rsidP="00FE0A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C35CE5">
        <w:rPr>
          <w:rFonts w:ascii="Times New Roman" w:hAnsi="Times New Roman"/>
          <w:sz w:val="24"/>
          <w:szCs w:val="24"/>
        </w:rPr>
        <w:lastRenderedPageBreak/>
        <w:t>Planirana  masa sredstava za isplatu plata u 2023.godini će ostati na istom nivou ,Ministar nadležan za poslove finansija bliže će urediti način i sadržaj izveštavanja o planiranim i izvršenim sredstvima za ispaltu plata na ekonomskim klasifikacijama 413-416 u 2020.godini.</w:t>
      </w:r>
    </w:p>
    <w:p w:rsidR="00FE0ACB" w:rsidRPr="00C35CE5" w:rsidRDefault="00FE0ACB" w:rsidP="00FE0A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C35CE5">
        <w:rPr>
          <w:rFonts w:ascii="Times New Roman" w:hAnsi="Times New Roman"/>
          <w:sz w:val="24"/>
          <w:szCs w:val="24"/>
        </w:rPr>
        <w:t>U koliko u toku 2023.godine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FE0ACB" w:rsidRPr="00C35CE5" w:rsidRDefault="00FE0ACB" w:rsidP="00FE0A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C35CE5"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2023.godini</w:t>
      </w:r>
    </w:p>
    <w:p w:rsidR="00FE0ACB" w:rsidRPr="00C35CE5" w:rsidRDefault="00FE0ACB" w:rsidP="00FE0ACB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FE0ACB" w:rsidRPr="00C35CE5" w:rsidRDefault="00FE0ACB" w:rsidP="00FE0AC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C35CE5">
        <w:rPr>
          <w:rFonts w:ascii="Times New Roman" w:hAnsi="Times New Roman"/>
          <w:sz w:val="24"/>
          <w:szCs w:val="24"/>
        </w:rPr>
        <w:t>Planiranje broja zaposlenih u 2023.godini se povezuje sa članom 8. Zakona o maksimalnom broju koji propisuje da broj zaposlenih u sistemu lokalne samouprave predstavlja ukupan broj zaposlenih u svim organizacionim oblicima jedince lokalne vlasti.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E0ACB" w:rsidRPr="00C35CE5" w:rsidRDefault="00FE0ACB" w:rsidP="00FE0AC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>Povećanje relativnog učešća kapitalnih rashoda  budžeta na račun smanjenja tekućih rashoda kroz  štednju i racionalizaciju ,</w:t>
      </w:r>
    </w:p>
    <w:p w:rsidR="00FE0ACB" w:rsidRPr="00C35CE5" w:rsidRDefault="00FE0ACB" w:rsidP="00FE0AC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>Planiranje otplata glavnice duga i kamata</w:t>
      </w:r>
    </w:p>
    <w:p w:rsidR="00FE0ACB" w:rsidRPr="00C35CE5" w:rsidRDefault="00FE0ACB" w:rsidP="00FE0AC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Obezbedjenje naknada za socijalnu zaštitu iz budžeta </w:t>
      </w:r>
    </w:p>
    <w:p w:rsidR="00FE0ACB" w:rsidRPr="00C35CE5" w:rsidRDefault="00FE0ACB" w:rsidP="00FE0AC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>Planiranje ostalih rashoda na nivo koji je neophodan za normalno funkcionisanje</w:t>
      </w:r>
    </w:p>
    <w:p w:rsidR="00FE0ACB" w:rsidRPr="00C35CE5" w:rsidRDefault="00FE0ACB" w:rsidP="00FE0ACB">
      <w:pPr>
        <w:ind w:left="60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Obim budžeta Grada Novog Pazara za 2023.godinu opredeljen je ,  realnim projektovanjem očekivanih prihoda , kroz prizmu planiranih ekonomskih kretanja ( rast BDP, zaposlenost,inflacija, lična i javna potrošnja), kapacitetom lokalne poreske administracije za upravljamjem prihoda, visinom  potrebnih sredstava za finansiranjem  zakonom utvrdjenih nadležnosti grada 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Kapitalne investicije u 2023.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Godini  biće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usmerene na : Izgradnji i održavanju lokanih puteva i ulica , kao i izgradnji ostale infrastructure.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Politika socijalne zaštite zasnivaće se na zaštiti najugroženijih kategorija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stanovništva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obezbedjivanjem sredstava za sve vidove socijalne zaštite koje finasira Grad 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lastRenderedPageBreak/>
        <w:t xml:space="preserve">     U oblasti kulture prevashodno će se realizovati programske aktivnosti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ustanova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uz adaptaciju i rekonstrukciju prostora kao i nabavku neophodne opreme, sto će modernizovati institucije kulture.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U oblasti sporta nastaviće se finansiranje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klubova  u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skladu sa Zakonom o sportu i Odlukom o finansiranju  aktivnosti  u oblasti sporta, kojom se reguliše finansiranje programskih aktivnosti  sportskih organizacija.Nastavaviće se kapitalno i tekuće održavanje postojeće sportske infrastructure.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U turizmu će se nastaviti sa prezentacijom turističkih potencijala Grada Novog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Pazara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unapredjenjem turističkih sadržaja i postavljanjem turističke signalizacije 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U oblasti informisanja nastaviće se sa pružanjem svih neophodnih informacija gradjanima o radu organa i službi grada Novog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Pazara .</w:t>
      </w:r>
      <w:proofErr w:type="gramEnd"/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U oblasti životne sredine obezbediće se sredstva za projekte kojima se redovno prati kvalitet životne sredine kao i nastavak ulaganja na izgradnji kanalizacione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infrastructure(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kolektori i ostalo).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U oblasti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poljoprivrede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nastaviće se subvencije u oblasti stočarske  proizvodnje i podizanja  nivoa znanja poljoprivrednika.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</w:rPr>
      </w:pPr>
      <w:r w:rsidRPr="00C35CE5">
        <w:rPr>
          <w:rFonts w:ascii="Times New Roman" w:hAnsi="Times New Roman" w:cs="Times New Roman"/>
          <w:b/>
          <w:sz w:val="24"/>
          <w:szCs w:val="24"/>
        </w:rPr>
        <w:t xml:space="preserve">                    II                PRAVNI OSNOV ZA </w:t>
      </w:r>
      <w:proofErr w:type="gramStart"/>
      <w:r w:rsidRPr="00C35CE5">
        <w:rPr>
          <w:rFonts w:ascii="Times New Roman" w:hAnsi="Times New Roman" w:cs="Times New Roman"/>
          <w:b/>
          <w:sz w:val="24"/>
          <w:szCs w:val="24"/>
        </w:rPr>
        <w:t>DONOŠENJE  BUDŽETA</w:t>
      </w:r>
      <w:proofErr w:type="gramEnd"/>
      <w:r w:rsidRPr="00C35CE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>Zakonom o budžetskom sistemu (S.G.  br.54/09, 73/10 ) u članu  43. regulisano je da Skupština lokalne vlasti donosi Odluku o budžetu lokalne vlasti.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Priprema i donošenje Odluke o budžetu Grada Novog Pazara za  2023.g. vrši se u skladu sa  Zakonom o budžetskom sistemu  , Pravilnikom o standardnom klasifikacionom okviru i kontnom planu za budzetski sistem , a i zasnovana je na smernicama  Fiskalne strategije koju donosi  Vlada Republike Srbije za  2023.godinu.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   U skladu sa navedenim propisima utvrdjeni su dinamika i rokovi za pripremu i donošenje planova , kao i obaveze i odgovornosti učesnika u procesu pripreme i donošenja Odluke o budžetu  Grada  Novog Pazara  za  2023.godinu.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Na osnovu budžetskog kalendara za lokalne vlasti , propisanog odredbama člana 31. Zakona o budžetskom sistemu , sprovedene su sve aktivnosti neophodne za pripremu i donošenje Odluke o budžetu Grada Novog Pazara za  2023. godinu.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sz w:val="24"/>
          <w:szCs w:val="24"/>
          <w:lang w:val="de-DE"/>
        </w:rPr>
        <w:t>III    STRUKTURA PRIHODA I PRIMANJA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Polazne osnove za pripremu i donošenje Odluke o dudžetu Grada Novog Pazara za  2023. godinu sadržane su u Uputstvu Vlade Republike Srbije za 2023.godinu sa projekcijama za naredne dve, Zakonu o finansiranju lokalne samouprave  i Zakonu o budžetskom sistemu  kojima je regulisano finansiranje nadležnosti lokalne samouprave .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sz w:val="24"/>
          <w:szCs w:val="24"/>
          <w:lang w:val="de-DE"/>
        </w:rPr>
        <w:t>MAKRO EKONOMSKI POKAZATELJI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>Ekonomska politika u naredne tri fiskalne godine  biće usmerena  na :</w:t>
      </w:r>
    </w:p>
    <w:p w:rsidR="00FE0ACB" w:rsidRPr="00C35CE5" w:rsidRDefault="00FE0ACB" w:rsidP="00FE0AC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makroekonomsku  stabilnost</w:t>
      </w:r>
    </w:p>
    <w:p w:rsidR="00FE0ACB" w:rsidRPr="00C35CE5" w:rsidRDefault="00FE0ACB" w:rsidP="00FE0AC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održiv privredni rast  i razvoj konkurentne privrede </w:t>
      </w:r>
    </w:p>
    <w:p w:rsidR="00FE0ACB" w:rsidRPr="00C35CE5" w:rsidRDefault="00FE0ACB" w:rsidP="00FE0AC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povećanje zaposlenosti i standarda stanovništva </w:t>
      </w:r>
    </w:p>
    <w:p w:rsidR="00FE0ACB" w:rsidRPr="00C35CE5" w:rsidRDefault="00FE0ACB" w:rsidP="00FE0AC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ravnomeran regionalni razvoj  Republike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Makroekonomska stabilnost zasnovana je na trendu smanjenja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inflacije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deficita tekućeg računa platnog bilansa.Ostvarenje ovog cilja zahteva prilagodjavanje i  čvrstu koordinaciju fiskalne i monetarne politike.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PRIHODI  I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PRIMANJA  BUDŽETA  GRADA  NOVOG PAZARA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Finansiranje nadležnosti jedinica lokalne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samouprave  regulisano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je  članom  25. Zakona o budžetskom sistemu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( SG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br.54/09 i 73/10) i članovima  6.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 34.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Zakona o finansiranju lokalne samouprave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( SG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br.62/06 ).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lastRenderedPageBreak/>
        <w:t xml:space="preserve">  Za finansiranje nadležnosti jedinica lokalne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samouprave ,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budžetima lokalne samouprave pripadaju izvorni prihodi ostvareni na njenoj teritoriji , ustupljeni prihodi i transferi.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5CE5">
        <w:rPr>
          <w:rFonts w:ascii="Times New Roman" w:hAnsi="Times New Roman" w:cs="Times New Roman"/>
          <w:b/>
          <w:sz w:val="24"/>
          <w:szCs w:val="24"/>
        </w:rPr>
        <w:t>Prilikom planiranja prihoda za prvu izmenu budžeta grada Novog Pazara za 2023.godinu rukovodili smo se izvršenjem prihoda za prva dva meseca (Janur i Februar) 2023.godine.</w:t>
      </w:r>
      <w:proofErr w:type="gramEnd"/>
      <w:r w:rsidRPr="00C35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35CE5">
        <w:rPr>
          <w:rFonts w:ascii="Times New Roman" w:hAnsi="Times New Roman" w:cs="Times New Roman"/>
          <w:b/>
          <w:sz w:val="24"/>
          <w:szCs w:val="24"/>
        </w:rPr>
        <w:t>Naglašavamo  da</w:t>
      </w:r>
      <w:proofErr w:type="gramEnd"/>
      <w:r w:rsidRPr="00C35CE5">
        <w:rPr>
          <w:rFonts w:ascii="Times New Roman" w:hAnsi="Times New Roman" w:cs="Times New Roman"/>
          <w:b/>
          <w:sz w:val="24"/>
          <w:szCs w:val="24"/>
        </w:rPr>
        <w:t xml:space="preserve"> su ova dva meseca sa najslabijim procentom izvršenja u odnosu na druge mesece u toku godine. 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Ukupni prihodi i primanja budžeta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Grada  Novog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Pazara za  2023. godinu  planirani su u iznosu  od                         </w:t>
      </w:r>
      <w:r w:rsidRPr="00C35CE5">
        <w:rPr>
          <w:rFonts w:ascii="Times New Roman" w:hAnsi="Times New Roman" w:cs="Times New Roman"/>
          <w:b/>
          <w:sz w:val="24"/>
          <w:szCs w:val="24"/>
        </w:rPr>
        <w:t>3.936.000.000</w:t>
      </w:r>
      <w:r w:rsidRPr="00C35CE5">
        <w:rPr>
          <w:rFonts w:ascii="Times New Roman" w:hAnsi="Times New Roman" w:cs="Times New Roman"/>
          <w:sz w:val="24"/>
          <w:szCs w:val="24"/>
        </w:rPr>
        <w:t>,</w:t>
      </w:r>
      <w:r w:rsidRPr="00C35CE5">
        <w:rPr>
          <w:rFonts w:ascii="Times New Roman" w:hAnsi="Times New Roman" w:cs="Times New Roman"/>
          <w:b/>
          <w:sz w:val="24"/>
          <w:szCs w:val="24"/>
        </w:rPr>
        <w:t>00</w:t>
      </w:r>
      <w:r w:rsidRPr="00C35CE5">
        <w:rPr>
          <w:rFonts w:ascii="Times New Roman" w:hAnsi="Times New Roman" w:cs="Times New Roman"/>
          <w:sz w:val="24"/>
          <w:szCs w:val="24"/>
        </w:rPr>
        <w:t xml:space="preserve"> dinara , pri čemu tekući prihodi  iznose  </w:t>
      </w:r>
      <w:r w:rsidRPr="00C35CE5">
        <w:rPr>
          <w:rFonts w:ascii="Times New Roman" w:hAnsi="Times New Roman" w:cs="Times New Roman"/>
          <w:b/>
          <w:sz w:val="24"/>
          <w:szCs w:val="24"/>
        </w:rPr>
        <w:t>3.528.000.000</w:t>
      </w:r>
      <w:r w:rsidRPr="00C35CE5">
        <w:rPr>
          <w:rFonts w:ascii="Times New Roman" w:hAnsi="Times New Roman" w:cs="Times New Roman"/>
          <w:sz w:val="24"/>
          <w:szCs w:val="24"/>
        </w:rPr>
        <w:t>,</w:t>
      </w:r>
      <w:r w:rsidRPr="00C35CE5">
        <w:rPr>
          <w:rFonts w:ascii="Times New Roman" w:hAnsi="Times New Roman" w:cs="Times New Roman"/>
          <w:b/>
          <w:sz w:val="24"/>
          <w:szCs w:val="24"/>
        </w:rPr>
        <w:t>00</w:t>
      </w:r>
      <w:r w:rsidRPr="00C35CE5">
        <w:rPr>
          <w:rFonts w:ascii="Times New Roman" w:hAnsi="Times New Roman" w:cs="Times New Roman"/>
          <w:sz w:val="24"/>
          <w:szCs w:val="24"/>
        </w:rPr>
        <w:t xml:space="preserve">  dinara  ili    89,0 % , primanja od prodaje nefinansijske imovine u iznosu od 120.000.000,00 dinara ili 3,0% , višak prihoda i primanja u iznosu od 38.000.000,00 dinara ili  1  % 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primanja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od domaćih zaduživanja u iznosu od 250.000.000,00 dinara ili 7%.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U okviru tekućih prihoda najznačajniji su</w:t>
      </w:r>
      <w:r w:rsidRPr="00C35CE5">
        <w:rPr>
          <w:rFonts w:ascii="Times New Roman" w:hAnsi="Times New Roman" w:cs="Times New Roman"/>
          <w:b/>
          <w:sz w:val="24"/>
          <w:szCs w:val="24"/>
        </w:rPr>
        <w:t xml:space="preserve"> prihodi od poreza </w:t>
      </w:r>
      <w:r w:rsidRPr="00C35CE5">
        <w:rPr>
          <w:rFonts w:ascii="Times New Roman" w:hAnsi="Times New Roman" w:cs="Times New Roman"/>
          <w:sz w:val="24"/>
          <w:szCs w:val="24"/>
        </w:rPr>
        <w:t xml:space="preserve">sa planiranim iznosom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od  2.011.200.000,00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din.,   zatim transferna sredstva u iznosu od  711.500.000,00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  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drugi prihodi u iznosu od  805.300.000,00 din.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ACB" w:rsidRPr="00C35CE5" w:rsidTr="000674CC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PRIHODI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 ZA                         2023.GOD.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Struktura %    </w:t>
            </w:r>
          </w:p>
        </w:tc>
      </w:tr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2.011.200.000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51% </w:t>
            </w:r>
          </w:p>
        </w:tc>
      </w:tr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sz w:val="24"/>
                <w:szCs w:val="24"/>
              </w:rPr>
              <w:t>1.175.300.000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29 %</w:t>
            </w:r>
          </w:p>
        </w:tc>
      </w:tr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711.500.000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19 %</w:t>
            </w:r>
          </w:p>
        </w:tc>
      </w:tr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38.000.000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1  %</w:t>
            </w:r>
          </w:p>
        </w:tc>
      </w:tr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ACB" w:rsidRPr="00C35CE5" w:rsidTr="000674CC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b/>
                <w:sz w:val="24"/>
                <w:szCs w:val="24"/>
              </w:rPr>
              <w:t>3.936.000.000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CB" w:rsidRPr="00C35CE5" w:rsidRDefault="00FE0ACB" w:rsidP="00067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C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100 %</w:t>
            </w:r>
          </w:p>
        </w:tc>
      </w:tr>
    </w:tbl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IV      RASHODI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Rashodi i izdaci Prve izmene budžeta Grada Novog Pazara za 2023.god.planirani su u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ukupnom  iznosu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od                  3.936.000.000,00 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to za sledeće vrste rashoda :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3.028.350.000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 din.   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      76,0   %     za tekuće rashode ,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-               786.650.000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 din.   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      20,0   %     za izdatke za nefinansijsku imovinu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-                121.000.000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      ili         4,0  %           za izdatke za otplatu glavnice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</w:rPr>
      </w:pPr>
      <w:r w:rsidRPr="00C35CE5">
        <w:rPr>
          <w:rFonts w:ascii="Times New Roman" w:hAnsi="Times New Roman" w:cs="Times New Roman"/>
          <w:b/>
          <w:sz w:val="24"/>
          <w:szCs w:val="24"/>
        </w:rPr>
        <w:t xml:space="preserve">                             STRUKTURA RASHODA PO EKONOMSKOJ KLASIFIKACIJI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Budžetom Grada Novog Pazara za 2023.g. planirani su rashodi u skladu sa ekonomskom klasifikacijom rashoda i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izdataka  na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osnovu Zakona o budžetskom sistemu, kojim je regulisano da se budžet priprema i izvršava na osnovu sistema jedinstvene budžetske klasifikacije.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Tekući  rashodi</w:t>
      </w:r>
      <w:proofErr w:type="gramEnd"/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U okviru tekućih rashoda planirani su rashodi za zaposlene ( 1.143.390.000.00 dinara , ili  38,0 % od ukupno planiranih rashoda , </w:t>
      </w:r>
      <w:r w:rsidRPr="00C35CE5">
        <w:rPr>
          <w:rFonts w:ascii="Times New Roman" w:hAnsi="Times New Roman" w:cs="Times New Roman"/>
          <w:b/>
          <w:sz w:val="24"/>
          <w:szCs w:val="24"/>
        </w:rPr>
        <w:t>korišćenje usluga i roba</w:t>
      </w:r>
      <w:r w:rsidRPr="00C35CE5">
        <w:rPr>
          <w:rFonts w:ascii="Times New Roman" w:hAnsi="Times New Roman" w:cs="Times New Roman"/>
          <w:sz w:val="24"/>
          <w:szCs w:val="24"/>
        </w:rPr>
        <w:t xml:space="preserve"> (888.840.000,00 din.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ili  30,0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%), </w:t>
      </w:r>
      <w:r w:rsidRPr="00C35CE5">
        <w:rPr>
          <w:rFonts w:ascii="Times New Roman" w:hAnsi="Times New Roman" w:cs="Times New Roman"/>
          <w:b/>
          <w:sz w:val="24"/>
          <w:szCs w:val="24"/>
        </w:rPr>
        <w:t>otplate kamata</w:t>
      </w:r>
      <w:r w:rsidRPr="00C35CE5">
        <w:rPr>
          <w:rFonts w:ascii="Times New Roman" w:hAnsi="Times New Roman" w:cs="Times New Roman"/>
          <w:sz w:val="24"/>
          <w:szCs w:val="24"/>
        </w:rPr>
        <w:t xml:space="preserve">  (12.600.000,00 din.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0,4%),  </w:t>
      </w:r>
      <w:r w:rsidRPr="00C35CE5">
        <w:rPr>
          <w:rFonts w:ascii="Times New Roman" w:hAnsi="Times New Roman" w:cs="Times New Roman"/>
          <w:b/>
          <w:sz w:val="24"/>
          <w:szCs w:val="24"/>
        </w:rPr>
        <w:t>subvencije</w:t>
      </w:r>
      <w:r w:rsidRPr="00C35CE5">
        <w:rPr>
          <w:rFonts w:ascii="Times New Roman" w:hAnsi="Times New Roman" w:cs="Times New Roman"/>
          <w:sz w:val="24"/>
          <w:szCs w:val="24"/>
        </w:rPr>
        <w:t xml:space="preserve"> (20.000.000,00 din.  ili  0,7  %) , donacije i transferi za srednje i osnovne škole  i ostale  (   495.500.000,00 din. ili  15,0 %), socijalna zaštita  (172.350.000,00 din.  Ili  6,0 %), i ostali rashodi u iznosu od  286.670.000,00  ili  9,5 %.i sredstva rezevi u iznosu od  9 .000.000,00 din.  0.4 %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41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-  Rashodi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za zaposlene 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Rashodi za zaposlene planirani su u iznosu  od   1.143.390.000,00 din.i obuhvataju plate , dodatke i naknade zaposlenih ,socijalne doprinose na teret poslodavca , socijalna davanja zaposlenima , nagrade  zaposlenima i ostale rashode .</w:t>
      </w:r>
    </w:p>
    <w:p w:rsidR="00FE0ACB" w:rsidRPr="00C35CE5" w:rsidRDefault="00FE0ACB" w:rsidP="00FE0ACB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ab/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411  i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412   Plate, dodaci i naknade zaposlenih i socijalni doprinosi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Sredstva za zarade zaposlenih kod direktnih i indirektnih korisnika budzeta grada planirana su u iznosu od 1.094.710.000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skladu sa Zakonom o budžetskom sistemu ( S,G. RS broj  54/09 i 73/10) i preporuke Vlade Republike Srbije.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sz w:val="24"/>
          <w:szCs w:val="24"/>
        </w:rPr>
        <w:t xml:space="preserve">   413   Naknada u nature</w:t>
      </w:r>
      <w:r w:rsidRPr="00C35CE5">
        <w:rPr>
          <w:rFonts w:ascii="Times New Roman" w:hAnsi="Times New Roman" w:cs="Times New Roman"/>
          <w:sz w:val="24"/>
          <w:szCs w:val="24"/>
        </w:rPr>
        <w:t xml:space="preserve"> planirana su sredstva u iznosu od 2.310.000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dinara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E0ACB" w:rsidRPr="00C35CE5" w:rsidRDefault="00FE0ACB" w:rsidP="00FE0AC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Sociijalna davanja zaposlenima </w:t>
      </w:r>
      <w:r w:rsidRPr="00C35CE5">
        <w:rPr>
          <w:rFonts w:ascii="Times New Roman" w:hAnsi="Times New Roman" w:cs="Times New Roman"/>
          <w:sz w:val="24"/>
          <w:szCs w:val="24"/>
        </w:rPr>
        <w:t xml:space="preserve">planirana su u iznosu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od  19.370.000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,00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obuhvataju otpremnine i pomoći zaposlenima kod direktnih i indirektnih korisnika budžeta u skladu sa opštim i pojedinačnim aktima budžetskih korisnika. </w:t>
      </w:r>
    </w:p>
    <w:p w:rsidR="00FE0ACB" w:rsidRPr="00C35CE5" w:rsidRDefault="00FE0ACB" w:rsidP="00FE0AC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Naknade za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zaposlene  </w:t>
      </w:r>
      <w:r w:rsidRPr="00C35CE5">
        <w:rPr>
          <w:rFonts w:ascii="Times New Roman" w:hAnsi="Times New Roman" w:cs="Times New Roman"/>
          <w:sz w:val="24"/>
          <w:szCs w:val="24"/>
        </w:rPr>
        <w:t>planirane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su u ukupnom iznosu od  15.500.000,00 din i obuhvataju   naknade troškova za prevoz dolaska na posao i odlaska sa posla.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Nagrade, bonusi i ostali posebni rashodi </w:t>
      </w:r>
      <w:r w:rsidRPr="00C35CE5">
        <w:rPr>
          <w:rFonts w:ascii="Times New Roman" w:hAnsi="Times New Roman" w:cs="Times New Roman"/>
          <w:sz w:val="24"/>
          <w:szCs w:val="24"/>
        </w:rPr>
        <w:t xml:space="preserve">planirani su u obimu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od  11.500.000,00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din.i odnose se na jubilarne nagrade .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>42 – Korišćenje usluga i roba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>421   Stalni troškovi</w:t>
      </w:r>
      <w:r w:rsidRPr="00C35CE5">
        <w:rPr>
          <w:rFonts w:ascii="Times New Roman" w:hAnsi="Times New Roman" w:cs="Times New Roman"/>
          <w:sz w:val="24"/>
          <w:szCs w:val="24"/>
        </w:rPr>
        <w:t xml:space="preserve"> su planirani u iznosu od  209.520.000,00 din.i obuhvataju troškove platnog prometa i bankarskih usluga , energetske usluge , komunalne usluge , usluge komunikacija , troškovi osiguranja i zakupa imovine i opreme.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Troškovi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putovanja</w:t>
      </w:r>
      <w:r w:rsidRPr="00C35CE5">
        <w:rPr>
          <w:rFonts w:ascii="Times New Roman" w:hAnsi="Times New Roman" w:cs="Times New Roman"/>
          <w:sz w:val="24"/>
          <w:szCs w:val="24"/>
        </w:rPr>
        <w:t xml:space="preserve">  su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planirani u iznosu od  8.270.000,00 din. i obuhvataju troškove službenih  putovanja u zemlji i inostranstvu , </w:t>
      </w:r>
    </w:p>
    <w:p w:rsidR="00FE0ACB" w:rsidRPr="00C35CE5" w:rsidRDefault="00FE0ACB" w:rsidP="00FE0ACB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Usluge po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ugovoru </w:t>
      </w:r>
      <w:r w:rsidRPr="00C35CE5">
        <w:rPr>
          <w:rFonts w:ascii="Times New Roman" w:hAnsi="Times New Roman" w:cs="Times New Roman"/>
          <w:sz w:val="24"/>
          <w:szCs w:val="24"/>
        </w:rPr>
        <w:t xml:space="preserve"> su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planirane u iznosu od  249.310.000,00 din. i obuhvataju administrativne usluge , kompjuterske usluge ,usluge obrazovanja i usavrsavanja zaposlenih , usluge informisanja , stručne usluge , usluge domacinstva i ugostiteljstva , ostale opšte usluge kao i naknade za odbore i razne komisije, komunalne javne usluge(javna higijena , kanalizacija, urbanizam i organizacija saobraćaja).</w:t>
      </w:r>
    </w:p>
    <w:p w:rsidR="00FE0ACB" w:rsidRPr="00C35CE5" w:rsidRDefault="00FE0ACB" w:rsidP="00FE0ACB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Specijalizovane usluge </w:t>
      </w:r>
      <w:r w:rsidRPr="00C35CE5">
        <w:rPr>
          <w:rFonts w:ascii="Times New Roman" w:hAnsi="Times New Roman" w:cs="Times New Roman"/>
          <w:sz w:val="24"/>
          <w:szCs w:val="24"/>
        </w:rPr>
        <w:t>su planirane u iznosu od   322.550.000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obuhvataju usluge po ugovoru koje nisu obuhvaćene predhodno pomenutim uslugama(medicinske, očuvanje životne sredine, kulture).</w:t>
      </w:r>
    </w:p>
    <w:p w:rsidR="00FE0ACB" w:rsidRPr="00C35CE5" w:rsidRDefault="00FE0ACB" w:rsidP="00FE0ACB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Tekuće popravke i održavanje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planirano  24.000.000,00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obuhvataju tekuće popravke i održavanje zgrada,objekata , opreme i saobraćajne infrastructure.</w:t>
      </w:r>
    </w:p>
    <w:p w:rsidR="00FE0ACB" w:rsidRPr="00C35CE5" w:rsidRDefault="00FE0ACB" w:rsidP="00FE0ACB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Materijal </w:t>
      </w:r>
      <w:r w:rsidRPr="00C35CE5">
        <w:rPr>
          <w:rFonts w:ascii="Times New Roman" w:hAnsi="Times New Roman" w:cs="Times New Roman"/>
          <w:sz w:val="24"/>
          <w:szCs w:val="24"/>
        </w:rPr>
        <w:t xml:space="preserve">planiran je u iznosu od 72.190.000,00 i odnosi se na sledeće :                                          </w:t>
      </w:r>
    </w:p>
    <w:p w:rsidR="00FE0ACB" w:rsidRPr="00C35CE5" w:rsidRDefault="00FE0ACB" w:rsidP="00FE0ACB">
      <w:pPr>
        <w:ind w:left="840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troškovi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za nabavku kancelarijskog materijala , publikacija , časopisa i glasila za zaposlene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-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nabavka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materijala za saobraćaj (benzin, dizel gorivo , ulje i mazivo)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-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nabavka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materijala za održavanje higijene i materijala za posebne namene .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44  Otplata kamata i pratećih troškova zaduženja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>Planirana su sredstva  za otplatu domaćih kamata i plaćanja troškova zaduženja u iznosu od  12.600.000,00 din.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ind w:left="3300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45     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>Subvencije</w:t>
      </w:r>
    </w:p>
    <w:p w:rsidR="00FE0ACB" w:rsidRPr="00C35CE5" w:rsidRDefault="00FE0ACB" w:rsidP="00FE0ACB">
      <w:pPr>
        <w:ind w:left="3300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35CE5">
        <w:rPr>
          <w:rFonts w:ascii="Times New Roman" w:hAnsi="Times New Roman"/>
          <w:b/>
          <w:bCs/>
          <w:sz w:val="24"/>
          <w:szCs w:val="24"/>
        </w:rPr>
        <w:t xml:space="preserve"> Subvencije javnim nefinansijskim preduzećima </w:t>
      </w:r>
      <w:r w:rsidRPr="00C35CE5">
        <w:rPr>
          <w:rFonts w:ascii="Times New Roman" w:hAnsi="Times New Roman"/>
          <w:sz w:val="24"/>
          <w:szCs w:val="24"/>
        </w:rPr>
        <w:t>planirane su u iznosu od  20.000.000,00 din. i odnose se na JP Gradska toplana  Novi Pazar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Donacije ,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dotacije i transferi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Budžetom Grada Novog Pazara za 2023.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planirana su  sredstva u iznosu od  501.500.000,00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dotacije , donacije i transfere  :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463  Transferi ostalim nivoima vlasti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planirani su u iznosu od     429.000.000,00 din. od čega 340.000.000,00 din. za tekuće transfere i  89.000.000,00 din. za kapitalne transfere 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1- Tekući transferi  ostalim nivoima vlasti :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 - za     16   osnovih škola planirana su sredstava u iznosu od  </w:t>
      </w:r>
      <w:r w:rsidRPr="00C35CE5">
        <w:rPr>
          <w:rFonts w:ascii="Times New Roman" w:hAnsi="Times New Roman" w:cs="Times New Roman"/>
          <w:b/>
          <w:sz w:val="24"/>
          <w:szCs w:val="24"/>
          <w:lang w:val="de-DE"/>
        </w:rPr>
        <w:t xml:space="preserve">188.000.000,00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>din.  na ime tekućih rashoda  (socijalna davanja , naknade za zaposlene , stalni troškovi , troškovi putovanja, usluge po ugovoru , specijalizovane usluge , tekuće odrzavanje  u skladu sa Zakonom o osnovama sistema obrazovanja i vaspitanja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 - za    6  srednjih škola  planirana su sredstava u iznosu od </w:t>
      </w:r>
      <w:r w:rsidRPr="00C35CE5">
        <w:rPr>
          <w:rFonts w:ascii="Times New Roman" w:hAnsi="Times New Roman" w:cs="Times New Roman"/>
          <w:b/>
          <w:sz w:val="24"/>
          <w:szCs w:val="24"/>
          <w:lang w:val="de-DE"/>
        </w:rPr>
        <w:t>101.500.000,00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din.  na ime tekućih rashoda  (socijalna davanja , naknade za zaposlene , stalni troškovi , troškovi putovanja, usluge po ugovoru , specijalizovane usluge , tekuće održavanje  u skladu sa Zakonom o osnovama sistema obrazovanja i vaspitanja</w:t>
      </w:r>
    </w:p>
    <w:p w:rsidR="00FE0ACB" w:rsidRPr="00C35CE5" w:rsidRDefault="00FE0ACB" w:rsidP="00FE0ACB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2-Kapitalni transferi ostalin nivoima vlasti :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    - za kapitalno investiranje i održavanje objekata i opreme u oblasti osnovnog obrazovanja  planirano je  </w:t>
      </w:r>
      <w:r w:rsidRPr="00C35CE5">
        <w:rPr>
          <w:rFonts w:ascii="Times New Roman" w:hAnsi="Times New Roman" w:cs="Times New Roman"/>
          <w:b/>
          <w:sz w:val="24"/>
          <w:szCs w:val="24"/>
          <w:lang w:val="de-DE"/>
        </w:rPr>
        <w:t>52.500.000,00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din.u skladu sa programom investiranja.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        - za kapitalno investiranje i održavanje objekata i opreme u oblasti srednjeg obrazovanja  planirano je    </w:t>
      </w:r>
      <w:r w:rsidRPr="00C35CE5">
        <w:rPr>
          <w:rFonts w:ascii="Times New Roman" w:hAnsi="Times New Roman" w:cs="Times New Roman"/>
          <w:b/>
          <w:sz w:val="24"/>
          <w:szCs w:val="24"/>
          <w:lang w:val="de-DE"/>
        </w:rPr>
        <w:t>19.500.000,00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din.u skladu sa programom investiranja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   </w:t>
      </w:r>
      <w:r w:rsidRPr="00C35CE5">
        <w:rPr>
          <w:rFonts w:ascii="Times New Roman" w:hAnsi="Times New Roman" w:cs="Times New Roman"/>
          <w:b/>
          <w:sz w:val="24"/>
          <w:szCs w:val="24"/>
          <w:lang w:val="de-DE"/>
        </w:rPr>
        <w:t xml:space="preserve">464 Tekuće i transferi organizacijama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>planirane su u iznosu od 70.000.000,00 dinara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    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465  Ostale tekuće donacije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planirane su u iznosu od   2.500.000,00 din  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47  Socijalno osiguranje i socijalna zastita 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472 Naknade za socijalnu zaštitu iz budžeta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>planirane su u iznosu od  172.350.000,00 din. za razne vidove socijalne zaštite  i prava iz proširenih vidova socijalne zaštite i Centra za socijalni rad.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48  Ostali rashodi  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U okviru ostalih rashoda planirana su sredstva u iznosu od  286.670.000,00 din.i to za dotacije nevladinim organizacijama  , za poreze i takse, za novčane kazne i penale  po rešenjima kao i za elementarne nepogode  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numPr>
          <w:ilvl w:val="0"/>
          <w:numId w:val="9"/>
        </w:numPr>
        <w:spacing w:after="0" w:line="240" w:lineRule="auto"/>
        <w:ind w:left="600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>Dotacije nevladinim organizacujama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planirana su sredstva u iznosu od  233.600.000,00 din.</w:t>
      </w:r>
    </w:p>
    <w:p w:rsidR="00FE0ACB" w:rsidRPr="00C35CE5" w:rsidRDefault="00FE0ACB" w:rsidP="00FE0ACB">
      <w:pPr>
        <w:ind w:left="600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:rsidR="00FE0ACB" w:rsidRPr="00C35CE5" w:rsidRDefault="00FE0ACB" w:rsidP="00FE0ACB">
      <w:pPr>
        <w:ind w:left="600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>Za finansiranje sportskih organizacija i školskog i rekreativnog sporta i sportske infrastrukture u skladu sa Odlukom o finansiranju aktivnosti u oblasti sporta, planirana su sredstva u iznosu od 242.800.000,00 din.</w:t>
      </w:r>
    </w:p>
    <w:p w:rsidR="00FE0ACB" w:rsidRPr="00C35CE5" w:rsidRDefault="00FE0ACB" w:rsidP="00FE0ACB">
      <w:pPr>
        <w:ind w:left="600"/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ind w:left="600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 Za finansiranje programskih aktivnosti socijalno humanitarnih organizacija u koje spadaju(Medju opst.org.saveza slepih , Udruzenje gluvih i nagluvih, medjuopst.org. CIR-a, Udruzenje za pomoć MNRL –o, Drustvo za cerebralnu paralizu, Društvo paraplegičara, gradski odbor SUBNOR-a, Crveni krst i KPZ), planirana su sredstva u iznosu od  40.000.000,00 din.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       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 xml:space="preserve">Za realizaciju programskih aktivnosti i projekata nevladinih organizacija , planirana   su sredstva u iznosu od (Političke stranke iznos od  2.100.000,00 din. , Rodna ravnopravnost iznos od  500.000,00 din. ,.NALED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lastRenderedPageBreak/>
        <w:t>500.000,00din ,Društvo psihologa 12.000.000,00 din,  SEDA  16.500.000,00 din.Verske zajednice iznos od  3.500.000,00 din.,informisanost (projekti) 46.000.000,00 din ,  BNVS 12.000.000,00 din. Ostale neprofitne institucije iznos od  12.000.000,00 din.)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Porezi , obavezne takse i kazne 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>planirana su sredstva u ukupnom iznosu od  1.420.000,00 din. , a odnose se na republičke , sudske takse i ragistraciju vozila.</w:t>
      </w:r>
    </w:p>
    <w:p w:rsidR="00FE0ACB" w:rsidRPr="00C35CE5" w:rsidRDefault="00FE0ACB" w:rsidP="00FE0AC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Novčane kazne i penali po rešenju sudova 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>planirana su sredstva u iznosu od  15.650.000,00 din.za realizaciju izvršnih rešenja sudova u redovnim postupcima i postupcima prinudne naplate.</w:t>
      </w:r>
    </w:p>
    <w:p w:rsidR="00FE0ACB" w:rsidRPr="00C35CE5" w:rsidRDefault="00FE0ACB" w:rsidP="00FE0AC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Naknada štete usled elementarnih nepogoda </w:t>
      </w:r>
      <w:r w:rsidRPr="00C35CE5">
        <w:rPr>
          <w:rFonts w:ascii="Times New Roman" w:hAnsi="Times New Roman" w:cs="Times New Roman"/>
          <w:sz w:val="24"/>
          <w:szCs w:val="24"/>
          <w:lang w:val="de-DE"/>
        </w:rPr>
        <w:t>planirana su sredstva  u iznosu od   20.000.000,00 din.</w:t>
      </w:r>
    </w:p>
    <w:p w:rsidR="00FE0ACB" w:rsidRPr="00C35CE5" w:rsidRDefault="00FE0ACB" w:rsidP="00FE0ACB">
      <w:pPr>
        <w:ind w:left="72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485  </w:t>
      </w:r>
      <w:r w:rsidRPr="00C35CE5">
        <w:rPr>
          <w:rFonts w:ascii="Times New Roman" w:hAnsi="Times New Roman" w:cs="Times New Roman"/>
          <w:bCs/>
          <w:sz w:val="24"/>
          <w:szCs w:val="24"/>
          <w:lang w:val="de-DE"/>
        </w:rPr>
        <w:t>Naknade štete od povrede nanete od državnih organa planirana su sredstva u iznosu od 16.000.000,00 din.</w:t>
      </w:r>
    </w:p>
    <w:p w:rsidR="00FE0ACB" w:rsidRPr="00C35CE5" w:rsidRDefault="00FE0ACB" w:rsidP="00FE0ACB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</w:t>
      </w:r>
    </w:p>
    <w:p w:rsidR="00FE0ACB" w:rsidRPr="00C35CE5" w:rsidRDefault="00FE0ACB" w:rsidP="00FE0AC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49  Administrativni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transferi iz budžeta</w:t>
      </w:r>
    </w:p>
    <w:p w:rsidR="00FE0ACB" w:rsidRPr="00C35CE5" w:rsidRDefault="00FE0ACB" w:rsidP="00FE0AC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>Sredstva rezerve planirana su u iznosu od 9.000.000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to deo za stalnu budžetsku rezervu  od 3.000.000,00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  6.000.000,00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za tekuću budžetsku rezervu  u skladu sa odredbama Zakona o budžetskom sistemu.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5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-  Izdaci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za nefinansijsku imovinu</w:t>
      </w:r>
    </w:p>
    <w:p w:rsidR="00FE0ACB" w:rsidRPr="00C35CE5" w:rsidRDefault="00FE0ACB" w:rsidP="00FE0A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35CE5">
        <w:rPr>
          <w:rFonts w:ascii="Times New Roman" w:hAnsi="Times New Roman" w:cs="Times New Roman"/>
          <w:sz w:val="24"/>
          <w:szCs w:val="24"/>
        </w:rPr>
        <w:t xml:space="preserve">Planirani su u iznosu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od  783.650.000,00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sastoje se od izdataka za osnovna sredstva  733.650.000,00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       94. % od ukupnih izdataka 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  prirodne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imovine u iznosu od  50.000.000,00 din.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ili  6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,0  % 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Osnovna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sredstva</w:t>
      </w:r>
      <w:r w:rsidRPr="00C35CE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 obuhvataju zgrade i gradjevinske objekte , mašine , opremu i nematerijalnu imovinu.</w:t>
      </w: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>Zgrade i građevinski objekti</w:t>
      </w:r>
      <w:r w:rsidRPr="00C35CE5">
        <w:rPr>
          <w:rFonts w:ascii="Times New Roman" w:hAnsi="Times New Roman" w:cs="Times New Roman"/>
          <w:sz w:val="24"/>
          <w:szCs w:val="24"/>
        </w:rPr>
        <w:t xml:space="preserve"> – planirano je  676.250.000,00 din.za izgradnju istih, kapitalno održavanje zgrada i objekata , projektno planiranje za razne oblasti (komunalna infrastruktura, kultura , sport)</w:t>
      </w:r>
    </w:p>
    <w:p w:rsidR="00FE0ACB" w:rsidRPr="00C35CE5" w:rsidRDefault="00FE0ACB" w:rsidP="00FE0AC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>Mašine i oprema</w:t>
      </w:r>
      <w:r w:rsidRPr="00C35CE5">
        <w:rPr>
          <w:rFonts w:ascii="Times New Roman" w:hAnsi="Times New Roman" w:cs="Times New Roman"/>
          <w:sz w:val="24"/>
          <w:szCs w:val="24"/>
        </w:rPr>
        <w:t xml:space="preserve"> – planirano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je  54.800.000,00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nabavku mašina i  opreme.</w:t>
      </w: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Nematerijalna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imovina</w:t>
      </w:r>
      <w:r w:rsidRPr="00C35CE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planirano  2.600.000,00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nabavku sredstava iz oblasti kulture.</w:t>
      </w: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>54 – Prirodna imovina</w:t>
      </w:r>
    </w:p>
    <w:p w:rsidR="00FE0ACB" w:rsidRPr="00C35CE5" w:rsidRDefault="00FE0ACB" w:rsidP="00FE0ACB">
      <w:pPr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541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-  Zemljište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C35CE5">
        <w:rPr>
          <w:rFonts w:ascii="Times New Roman" w:hAnsi="Times New Roman" w:cs="Times New Roman"/>
          <w:sz w:val="24"/>
          <w:szCs w:val="24"/>
        </w:rPr>
        <w:t>Budžetom je planirano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35CE5">
        <w:rPr>
          <w:rFonts w:ascii="Times New Roman" w:hAnsi="Times New Roman" w:cs="Times New Roman"/>
          <w:sz w:val="24"/>
          <w:szCs w:val="24"/>
        </w:rPr>
        <w:t>50.000.000,00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CE5">
        <w:rPr>
          <w:rFonts w:ascii="Times New Roman" w:hAnsi="Times New Roman" w:cs="Times New Roman"/>
          <w:sz w:val="24"/>
          <w:szCs w:val="24"/>
        </w:rPr>
        <w:t xml:space="preserve">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isplatu naknade po sporazumima i sudskim rešenjima u postupku otkupa gradjevinskog zemljista .</w:t>
      </w: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>61 – Otplata glavnice</w:t>
      </w: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611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-  Otplata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glavnice domaćim kreditorima</w:t>
      </w:r>
      <w:r w:rsidRPr="00C35CE5">
        <w:rPr>
          <w:rFonts w:ascii="Times New Roman" w:hAnsi="Times New Roman" w:cs="Times New Roman"/>
          <w:sz w:val="24"/>
          <w:szCs w:val="24"/>
        </w:rPr>
        <w:t xml:space="preserve"> – Planirana su sredstva u iznosu od    121.000.000,00 din.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C35CE5">
        <w:rPr>
          <w:rFonts w:ascii="Times New Roman" w:hAnsi="Times New Roman" w:cs="Times New Roman"/>
          <w:sz w:val="24"/>
          <w:szCs w:val="24"/>
        </w:rPr>
        <w:t xml:space="preserve"> otplatu glavnice domaćim kreditorima u skladu sa Odlukom o zaduženju za infrastrukturne projekte.</w:t>
      </w: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rPr>
          <w:rFonts w:ascii="Times New Roman" w:hAnsi="Times New Roman" w:cs="Times New Roman"/>
          <w:sz w:val="24"/>
          <w:szCs w:val="24"/>
        </w:rPr>
      </w:pPr>
    </w:p>
    <w:p w:rsidR="00FE0ACB" w:rsidRPr="00C35CE5" w:rsidRDefault="00FE0ACB" w:rsidP="00FE0ACB">
      <w:pPr>
        <w:tabs>
          <w:tab w:val="left" w:pos="9120"/>
        </w:tabs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Rukovodilac Odeljenja za finansije</w:t>
      </w:r>
    </w:p>
    <w:p w:rsidR="00FE0ACB" w:rsidRPr="00C35CE5" w:rsidRDefault="00FE0ACB" w:rsidP="00FE0ACB">
      <w:pPr>
        <w:tabs>
          <w:tab w:val="left" w:pos="9120"/>
        </w:tabs>
        <w:rPr>
          <w:rFonts w:ascii="Times New Roman" w:hAnsi="Times New Roman" w:cs="Times New Roman"/>
          <w:sz w:val="24"/>
          <w:szCs w:val="24"/>
        </w:rPr>
      </w:pPr>
      <w:r w:rsidRPr="00C35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Pr="00C35CE5">
        <w:rPr>
          <w:rFonts w:ascii="Times New Roman" w:hAnsi="Times New Roman" w:cs="Times New Roman"/>
          <w:sz w:val="24"/>
          <w:szCs w:val="24"/>
        </w:rPr>
        <w:t>Mihrija  Zeković</w:t>
      </w:r>
      <w:proofErr w:type="gramEnd"/>
    </w:p>
    <w:p w:rsidR="00FE0ACB" w:rsidRPr="00C35CE5" w:rsidRDefault="00FE0ACB" w:rsidP="00FE0ACB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1331FD" w:rsidRPr="00C35CE5" w:rsidRDefault="001331FD">
      <w:pPr>
        <w:rPr>
          <w:rFonts w:ascii="Times New Roman" w:hAnsi="Times New Roman" w:cs="Times New Roman"/>
          <w:sz w:val="24"/>
          <w:szCs w:val="24"/>
        </w:rPr>
      </w:pPr>
    </w:p>
    <w:sectPr w:rsidR="001331FD" w:rsidRPr="00C35CE5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5966BC"/>
    <w:multiLevelType w:val="hybridMultilevel"/>
    <w:tmpl w:val="0E64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7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6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1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E4BED"/>
    <w:multiLevelType w:val="hybridMultilevel"/>
    <w:tmpl w:val="FF2CF5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010AF"/>
    <w:multiLevelType w:val="hybridMultilevel"/>
    <w:tmpl w:val="3080E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7"/>
  </w:num>
  <w:num w:numId="3">
    <w:abstractNumId w:val="3"/>
  </w:num>
  <w:num w:numId="4">
    <w:abstractNumId w:val="13"/>
  </w:num>
  <w:num w:numId="5">
    <w:abstractNumId w:val="14"/>
  </w:num>
  <w:num w:numId="6">
    <w:abstractNumId w:val="2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8"/>
  </w:num>
  <w:num w:numId="18">
    <w:abstractNumId w:val="10"/>
  </w:num>
  <w:num w:numId="19">
    <w:abstractNumId w:val="19"/>
  </w:num>
  <w:num w:numId="20">
    <w:abstractNumId w:val="21"/>
  </w:num>
  <w:num w:numId="21">
    <w:abstractNumId w:val="25"/>
  </w:num>
  <w:num w:numId="22">
    <w:abstractNumId w:val="24"/>
  </w:num>
  <w:num w:numId="23">
    <w:abstractNumId w:val="0"/>
  </w:num>
  <w:num w:numId="24">
    <w:abstractNumId w:val="9"/>
  </w:num>
  <w:num w:numId="25">
    <w:abstractNumId w:val="5"/>
  </w:num>
  <w:num w:numId="26">
    <w:abstractNumId w:val="23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>
    <w:useFELayout/>
  </w:compat>
  <w:rsids>
    <w:rsidRoot w:val="00FE0ACB"/>
    <w:rsid w:val="001331FD"/>
    <w:rsid w:val="00C35CE5"/>
    <w:rsid w:val="00EA1773"/>
    <w:rsid w:val="00FE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73"/>
  </w:style>
  <w:style w:type="paragraph" w:styleId="Heading1">
    <w:name w:val="heading 1"/>
    <w:basedOn w:val="Normal"/>
    <w:next w:val="Normal"/>
    <w:link w:val="Heading1Char"/>
    <w:qFormat/>
    <w:rsid w:val="00FE0A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FE0A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v-SE"/>
    </w:rPr>
  </w:style>
  <w:style w:type="paragraph" w:styleId="Heading3">
    <w:name w:val="heading 3"/>
    <w:basedOn w:val="Normal"/>
    <w:next w:val="Normal"/>
    <w:link w:val="Heading3Char"/>
    <w:qFormat/>
    <w:rsid w:val="00FE0AC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FE0ACB"/>
    <w:pPr>
      <w:keepNext/>
      <w:spacing w:after="0" w:line="240" w:lineRule="auto"/>
      <w:ind w:firstLine="708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E0ACB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E0ACB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rsid w:val="00FE0ACB"/>
    <w:pPr>
      <w:keepNext/>
      <w:tabs>
        <w:tab w:val="num" w:pos="1296"/>
      </w:tabs>
      <w:suppressAutoHyphens/>
      <w:spacing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b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rsid w:val="00FE0ACB"/>
    <w:pPr>
      <w:keepNext/>
      <w:tabs>
        <w:tab w:val="num" w:pos="1440"/>
      </w:tabs>
      <w:suppressAutoHyphens/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b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FE0AC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ACB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FE0ACB"/>
    <w:rPr>
      <w:rFonts w:ascii="Times New Roman" w:eastAsia="Times New Roman" w:hAnsi="Times New Roman" w:cs="Times New Roman"/>
      <w:b/>
      <w:bCs/>
      <w:sz w:val="24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FE0ACB"/>
    <w:rPr>
      <w:rFonts w:ascii="Times New Roman" w:eastAsia="Times New Roman" w:hAnsi="Times New Roman" w:cs="Times New Roman"/>
      <w:sz w:val="28"/>
      <w:szCs w:val="28"/>
      <w:lang w:val="pl-PL"/>
    </w:rPr>
  </w:style>
  <w:style w:type="character" w:customStyle="1" w:styleId="Heading4Char">
    <w:name w:val="Heading 4 Char"/>
    <w:basedOn w:val="DefaultParagraphFont"/>
    <w:link w:val="Heading4"/>
    <w:rsid w:val="00FE0A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E0A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E0ACB"/>
    <w:rPr>
      <w:rFonts w:ascii="Times New Roman" w:eastAsia="Times New Roman" w:hAnsi="Times New Roman" w:cs="Times New Roman"/>
      <w:b/>
      <w:sz w:val="24"/>
      <w:szCs w:val="20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FE0ACB"/>
    <w:rPr>
      <w:rFonts w:ascii="Times New Roman" w:eastAsia="Times New Roman" w:hAnsi="Times New Roman" w:cs="Times New Roman"/>
      <w:b/>
      <w:szCs w:val="20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FE0ACB"/>
    <w:rPr>
      <w:rFonts w:ascii="Times New Roman" w:eastAsia="Times New Roman" w:hAnsi="Times New Roman" w:cs="Times New Roman"/>
      <w:b/>
      <w:szCs w:val="20"/>
      <w:lang w:val="sr-Cyrl-CS" w:eastAsia="ar-SA"/>
    </w:rPr>
  </w:style>
  <w:style w:type="character" w:customStyle="1" w:styleId="Heading9Char">
    <w:name w:val="Heading 9 Char"/>
    <w:basedOn w:val="DefaultParagraphFont"/>
    <w:link w:val="Heading9"/>
    <w:rsid w:val="00FE0ACB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rsid w:val="00FE0A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ACB"/>
    <w:rPr>
      <w:rFonts w:ascii="Tahoma" w:eastAsia="Times New Roman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FE0ACB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FE0AC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E0AC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0ACB"/>
  </w:style>
  <w:style w:type="paragraph" w:styleId="BodyText">
    <w:name w:val="Body Text"/>
    <w:basedOn w:val="Normal"/>
    <w:link w:val="BodyTextChar"/>
    <w:rsid w:val="00FE0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0AC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E0AC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FE0ACB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FE0A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0ACB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FE0A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E0A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FE0AC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0AC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E0A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E0ACB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35" w:lineRule="exact"/>
      <w:ind w:firstLine="1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E0ACB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FE0AC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FE0A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FE0AC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FE0ACB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FE0ACB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FE0ACB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FE0ACB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FE0ACB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FE0ACB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FE0ACB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FE0ACB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 w:cs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FE0ACB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FE0ACB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FE0ACB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FE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E0ACB"/>
    <w:rPr>
      <w:rFonts w:ascii="Wingdings" w:hAnsi="Wingdings"/>
    </w:rPr>
  </w:style>
  <w:style w:type="character" w:customStyle="1" w:styleId="WW8Num1z1">
    <w:name w:val="WW8Num1z1"/>
    <w:rsid w:val="00FE0ACB"/>
    <w:rPr>
      <w:rFonts w:ascii="Courier New" w:hAnsi="Courier New" w:cs="Courier New"/>
    </w:rPr>
  </w:style>
  <w:style w:type="character" w:customStyle="1" w:styleId="WW8Num1z3">
    <w:name w:val="WW8Num1z3"/>
    <w:rsid w:val="00FE0ACB"/>
    <w:rPr>
      <w:rFonts w:ascii="Symbol" w:hAnsi="Symbol"/>
    </w:rPr>
  </w:style>
  <w:style w:type="character" w:customStyle="1" w:styleId="WW8Num2z0">
    <w:name w:val="WW8Num2z0"/>
    <w:rsid w:val="00FE0ACB"/>
    <w:rPr>
      <w:rFonts w:ascii="Wingdings" w:hAnsi="Wingdings"/>
    </w:rPr>
  </w:style>
  <w:style w:type="character" w:customStyle="1" w:styleId="WW8Num2z1">
    <w:name w:val="WW8Num2z1"/>
    <w:rsid w:val="00FE0ACB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FE0ACB"/>
    <w:rPr>
      <w:rFonts w:ascii="Symbol" w:hAnsi="Symbol"/>
    </w:rPr>
  </w:style>
  <w:style w:type="character" w:customStyle="1" w:styleId="WW8Num2z4">
    <w:name w:val="WW8Num2z4"/>
    <w:rsid w:val="00FE0ACB"/>
    <w:rPr>
      <w:rFonts w:ascii="Courier New" w:hAnsi="Courier New" w:cs="Courier New"/>
    </w:rPr>
  </w:style>
  <w:style w:type="character" w:customStyle="1" w:styleId="WW8Num3z0">
    <w:name w:val="WW8Num3z0"/>
    <w:rsid w:val="00FE0ACB"/>
    <w:rPr>
      <w:i w:val="0"/>
    </w:rPr>
  </w:style>
  <w:style w:type="character" w:customStyle="1" w:styleId="WW8Num4z0">
    <w:name w:val="WW8Num4z0"/>
    <w:rsid w:val="00FE0ACB"/>
    <w:rPr>
      <w:rFonts w:ascii="Wingdings" w:hAnsi="Wingdings"/>
    </w:rPr>
  </w:style>
  <w:style w:type="character" w:customStyle="1" w:styleId="WW8Num4z1">
    <w:name w:val="WW8Num4z1"/>
    <w:rsid w:val="00FE0ACB"/>
    <w:rPr>
      <w:rFonts w:ascii="Courier New" w:hAnsi="Courier New" w:cs="Courier New"/>
    </w:rPr>
  </w:style>
  <w:style w:type="character" w:customStyle="1" w:styleId="WW8Num4z3">
    <w:name w:val="WW8Num4z3"/>
    <w:rsid w:val="00FE0ACB"/>
    <w:rPr>
      <w:rFonts w:ascii="Symbol" w:hAnsi="Symbol"/>
    </w:rPr>
  </w:style>
  <w:style w:type="character" w:customStyle="1" w:styleId="WW8Num5z0">
    <w:name w:val="WW8Num5z0"/>
    <w:rsid w:val="00FE0ACB"/>
    <w:rPr>
      <w:rFonts w:ascii="Wingdings" w:hAnsi="Wingdings"/>
    </w:rPr>
  </w:style>
  <w:style w:type="character" w:customStyle="1" w:styleId="WW8Num5z1">
    <w:name w:val="WW8Num5z1"/>
    <w:rsid w:val="00FE0ACB"/>
    <w:rPr>
      <w:rFonts w:ascii="Courier New" w:hAnsi="Courier New" w:cs="Courier New"/>
    </w:rPr>
  </w:style>
  <w:style w:type="character" w:customStyle="1" w:styleId="WW8Num5z3">
    <w:name w:val="WW8Num5z3"/>
    <w:rsid w:val="00FE0ACB"/>
    <w:rPr>
      <w:rFonts w:ascii="Symbol" w:hAnsi="Symbol"/>
    </w:rPr>
  </w:style>
  <w:style w:type="character" w:customStyle="1" w:styleId="WW8Num6z0">
    <w:name w:val="WW8Num6z0"/>
    <w:rsid w:val="00FE0ACB"/>
    <w:rPr>
      <w:rFonts w:ascii="Wingdings" w:hAnsi="Wingdings"/>
    </w:rPr>
  </w:style>
  <w:style w:type="character" w:customStyle="1" w:styleId="WW8Num6z1">
    <w:name w:val="WW8Num6z1"/>
    <w:rsid w:val="00FE0ACB"/>
    <w:rPr>
      <w:rFonts w:ascii="Courier New" w:hAnsi="Courier New" w:cs="Courier New"/>
    </w:rPr>
  </w:style>
  <w:style w:type="character" w:customStyle="1" w:styleId="WW8Num6z3">
    <w:name w:val="WW8Num6z3"/>
    <w:rsid w:val="00FE0ACB"/>
    <w:rPr>
      <w:rFonts w:ascii="Symbol" w:hAnsi="Symbol"/>
    </w:rPr>
  </w:style>
  <w:style w:type="character" w:customStyle="1" w:styleId="WW8Num7z0">
    <w:name w:val="WW8Num7z0"/>
    <w:rsid w:val="00FE0ACB"/>
    <w:rPr>
      <w:rFonts w:ascii="Wingdings" w:hAnsi="Wingdings"/>
    </w:rPr>
  </w:style>
  <w:style w:type="character" w:customStyle="1" w:styleId="WW8Num7z1">
    <w:name w:val="WW8Num7z1"/>
    <w:rsid w:val="00FE0ACB"/>
    <w:rPr>
      <w:rFonts w:ascii="Courier New" w:hAnsi="Courier New" w:cs="Courier New"/>
    </w:rPr>
  </w:style>
  <w:style w:type="character" w:customStyle="1" w:styleId="WW8Num7z3">
    <w:name w:val="WW8Num7z3"/>
    <w:rsid w:val="00FE0ACB"/>
    <w:rPr>
      <w:rFonts w:ascii="Symbol" w:hAnsi="Symbol"/>
    </w:rPr>
  </w:style>
  <w:style w:type="character" w:customStyle="1" w:styleId="WW8Num8z0">
    <w:name w:val="WW8Num8z0"/>
    <w:rsid w:val="00FE0ACB"/>
    <w:rPr>
      <w:rFonts w:ascii="Wingdings" w:hAnsi="Wingdings"/>
    </w:rPr>
  </w:style>
  <w:style w:type="character" w:customStyle="1" w:styleId="WW8Num8z1">
    <w:name w:val="WW8Num8z1"/>
    <w:rsid w:val="00FE0ACB"/>
    <w:rPr>
      <w:rFonts w:ascii="Courier New" w:hAnsi="Courier New" w:cs="Courier New"/>
    </w:rPr>
  </w:style>
  <w:style w:type="character" w:customStyle="1" w:styleId="WW8Num8z3">
    <w:name w:val="WW8Num8z3"/>
    <w:rsid w:val="00FE0ACB"/>
    <w:rPr>
      <w:rFonts w:ascii="Symbol" w:hAnsi="Symbol"/>
    </w:rPr>
  </w:style>
  <w:style w:type="character" w:customStyle="1" w:styleId="WW8Num9z0">
    <w:name w:val="WW8Num9z0"/>
    <w:rsid w:val="00FE0ACB"/>
    <w:rPr>
      <w:rFonts w:ascii="Symbol" w:hAnsi="Symbol"/>
      <w:sz w:val="16"/>
      <w:szCs w:val="16"/>
    </w:rPr>
  </w:style>
  <w:style w:type="character" w:customStyle="1" w:styleId="WW8Num9z1">
    <w:name w:val="WW8Num9z1"/>
    <w:rsid w:val="00FE0ACB"/>
    <w:rPr>
      <w:rFonts w:ascii="Courier New" w:hAnsi="Courier New" w:cs="Courier New"/>
    </w:rPr>
  </w:style>
  <w:style w:type="character" w:customStyle="1" w:styleId="WW8Num9z2">
    <w:name w:val="WW8Num9z2"/>
    <w:rsid w:val="00FE0ACB"/>
    <w:rPr>
      <w:rFonts w:ascii="Wingdings" w:hAnsi="Wingdings"/>
    </w:rPr>
  </w:style>
  <w:style w:type="character" w:customStyle="1" w:styleId="WW8Num9z3">
    <w:name w:val="WW8Num9z3"/>
    <w:rsid w:val="00FE0ACB"/>
    <w:rPr>
      <w:rFonts w:ascii="Symbol" w:hAnsi="Symbol"/>
    </w:rPr>
  </w:style>
  <w:style w:type="character" w:customStyle="1" w:styleId="WW8Num10z0">
    <w:name w:val="WW8Num10z0"/>
    <w:rsid w:val="00FE0ACB"/>
    <w:rPr>
      <w:rFonts w:ascii="Symbol" w:hAnsi="Symbol"/>
    </w:rPr>
  </w:style>
  <w:style w:type="character" w:customStyle="1" w:styleId="WW8Num10z1">
    <w:name w:val="WW8Num10z1"/>
    <w:rsid w:val="00FE0ACB"/>
    <w:rPr>
      <w:rFonts w:ascii="Courier New" w:hAnsi="Courier New" w:cs="Courier New"/>
    </w:rPr>
  </w:style>
  <w:style w:type="character" w:customStyle="1" w:styleId="WW8Num10z2">
    <w:name w:val="WW8Num10z2"/>
    <w:rsid w:val="00FE0ACB"/>
    <w:rPr>
      <w:rFonts w:ascii="Wingdings" w:hAnsi="Wingdings"/>
    </w:rPr>
  </w:style>
  <w:style w:type="character" w:customStyle="1" w:styleId="WW8Num11z0">
    <w:name w:val="WW8Num11z0"/>
    <w:rsid w:val="00FE0ACB"/>
    <w:rPr>
      <w:rFonts w:ascii="Symbol" w:hAnsi="Symbol"/>
      <w:sz w:val="16"/>
      <w:szCs w:val="16"/>
    </w:rPr>
  </w:style>
  <w:style w:type="character" w:customStyle="1" w:styleId="WW8Num11z1">
    <w:name w:val="WW8Num11z1"/>
    <w:rsid w:val="00FE0ACB"/>
    <w:rPr>
      <w:rFonts w:ascii="Courier New" w:hAnsi="Courier New" w:cs="Courier New"/>
    </w:rPr>
  </w:style>
  <w:style w:type="character" w:customStyle="1" w:styleId="WW8Num11z2">
    <w:name w:val="WW8Num11z2"/>
    <w:rsid w:val="00FE0ACB"/>
    <w:rPr>
      <w:rFonts w:ascii="Wingdings" w:hAnsi="Wingdings"/>
    </w:rPr>
  </w:style>
  <w:style w:type="character" w:customStyle="1" w:styleId="WW8Num11z3">
    <w:name w:val="WW8Num11z3"/>
    <w:rsid w:val="00FE0ACB"/>
    <w:rPr>
      <w:rFonts w:ascii="Symbol" w:hAnsi="Symbol"/>
    </w:rPr>
  </w:style>
  <w:style w:type="character" w:customStyle="1" w:styleId="WW8Num12z0">
    <w:name w:val="WW8Num12z0"/>
    <w:rsid w:val="00FE0ACB"/>
    <w:rPr>
      <w:rFonts w:ascii="Wingdings" w:hAnsi="Wingdings"/>
    </w:rPr>
  </w:style>
  <w:style w:type="character" w:customStyle="1" w:styleId="WW8Num12z1">
    <w:name w:val="WW8Num12z1"/>
    <w:rsid w:val="00FE0ACB"/>
    <w:rPr>
      <w:rFonts w:ascii="Courier New" w:hAnsi="Courier New" w:cs="Courier New"/>
    </w:rPr>
  </w:style>
  <w:style w:type="character" w:customStyle="1" w:styleId="WW8Num12z3">
    <w:name w:val="WW8Num12z3"/>
    <w:rsid w:val="00FE0ACB"/>
    <w:rPr>
      <w:rFonts w:ascii="Symbol" w:hAnsi="Symbol"/>
    </w:rPr>
  </w:style>
  <w:style w:type="character" w:customStyle="1" w:styleId="WW8Num13z0">
    <w:name w:val="WW8Num13z0"/>
    <w:rsid w:val="00FE0ACB"/>
    <w:rPr>
      <w:rFonts w:ascii="Wingdings" w:hAnsi="Wingdings"/>
    </w:rPr>
  </w:style>
  <w:style w:type="character" w:customStyle="1" w:styleId="WW8Num13z1">
    <w:name w:val="WW8Num13z1"/>
    <w:rsid w:val="00FE0ACB"/>
    <w:rPr>
      <w:rFonts w:ascii="Courier New" w:hAnsi="Courier New" w:cs="Courier New"/>
    </w:rPr>
  </w:style>
  <w:style w:type="character" w:customStyle="1" w:styleId="WW8Num13z3">
    <w:name w:val="WW8Num13z3"/>
    <w:rsid w:val="00FE0ACB"/>
    <w:rPr>
      <w:rFonts w:ascii="Symbol" w:hAnsi="Symbol"/>
    </w:rPr>
  </w:style>
  <w:style w:type="character" w:customStyle="1" w:styleId="WW8Num14z0">
    <w:name w:val="WW8Num14z0"/>
    <w:rsid w:val="00FE0ACB"/>
    <w:rPr>
      <w:rFonts w:ascii="Wingdings" w:hAnsi="Wingdings"/>
    </w:rPr>
  </w:style>
  <w:style w:type="character" w:customStyle="1" w:styleId="WW8Num14z1">
    <w:name w:val="WW8Num14z1"/>
    <w:rsid w:val="00FE0ACB"/>
    <w:rPr>
      <w:rFonts w:ascii="Courier New" w:hAnsi="Courier New" w:cs="Courier New"/>
    </w:rPr>
  </w:style>
  <w:style w:type="character" w:customStyle="1" w:styleId="WW8Num14z3">
    <w:name w:val="WW8Num14z3"/>
    <w:rsid w:val="00FE0ACB"/>
    <w:rPr>
      <w:rFonts w:ascii="Symbol" w:hAnsi="Symbol"/>
    </w:rPr>
  </w:style>
  <w:style w:type="character" w:customStyle="1" w:styleId="WW8Num15z0">
    <w:name w:val="WW8Num15z0"/>
    <w:rsid w:val="00FE0ACB"/>
    <w:rPr>
      <w:rFonts w:ascii="Wingdings" w:hAnsi="Wingdings"/>
    </w:rPr>
  </w:style>
  <w:style w:type="character" w:customStyle="1" w:styleId="WW8Num15z1">
    <w:name w:val="WW8Num15z1"/>
    <w:rsid w:val="00FE0ACB"/>
    <w:rPr>
      <w:rFonts w:ascii="Courier New" w:hAnsi="Courier New" w:cs="Courier New"/>
    </w:rPr>
  </w:style>
  <w:style w:type="character" w:customStyle="1" w:styleId="WW8Num15z3">
    <w:name w:val="WW8Num15z3"/>
    <w:rsid w:val="00FE0ACB"/>
    <w:rPr>
      <w:rFonts w:ascii="Symbol" w:hAnsi="Symbol"/>
    </w:rPr>
  </w:style>
  <w:style w:type="character" w:customStyle="1" w:styleId="WW8Num16z0">
    <w:name w:val="WW8Num16z0"/>
    <w:rsid w:val="00FE0ACB"/>
    <w:rPr>
      <w:b/>
    </w:rPr>
  </w:style>
  <w:style w:type="character" w:customStyle="1" w:styleId="WW8Num16z1">
    <w:name w:val="WW8Num16z1"/>
    <w:rsid w:val="00FE0ACB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FE0ACB"/>
  </w:style>
  <w:style w:type="character" w:customStyle="1" w:styleId="Simbolizanumerisanje">
    <w:name w:val="Simboli za numerisanje"/>
    <w:rsid w:val="00FE0ACB"/>
  </w:style>
  <w:style w:type="paragraph" w:customStyle="1" w:styleId="Zaglavlje">
    <w:name w:val="Zaglavlje"/>
    <w:basedOn w:val="Normal"/>
    <w:next w:val="BodyText"/>
    <w:rsid w:val="00FE0AC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FE0ACB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FE0AC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"/>
    <w:rsid w:val="00FE0AC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FE0ACB"/>
    <w:pPr>
      <w:suppressAutoHyphens/>
      <w:spacing w:after="0" w:line="240" w:lineRule="auto"/>
      <w:ind w:left="90" w:firstLine="630"/>
      <w:jc w:val="both"/>
    </w:pPr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E0ACB"/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paragraph" w:styleId="BodyTextIndent3">
    <w:name w:val="Body Text Indent 3"/>
    <w:basedOn w:val="Normal"/>
    <w:link w:val="BodyTextIndent3Char"/>
    <w:rsid w:val="00FE0AC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FE0ACB"/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paragraph" w:styleId="NormalWeb">
    <w:name w:val="Normal (Web)"/>
    <w:basedOn w:val="Normal"/>
    <w:rsid w:val="00FE0AC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E0AC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FE0A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FE0A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FE0ACB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FE0ACB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FE0A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FE0AC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FE0AC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0ACB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FE0ACB"/>
    <w:rPr>
      <w:b/>
      <w:bCs/>
    </w:rPr>
  </w:style>
  <w:style w:type="paragraph" w:customStyle="1" w:styleId="Char1">
    <w:name w:val="Char1"/>
    <w:basedOn w:val="Normal"/>
    <w:rsid w:val="00FE0ACB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FE0ACB"/>
  </w:style>
  <w:style w:type="paragraph" w:styleId="ListParagraph">
    <w:name w:val="List Paragraph"/>
    <w:basedOn w:val="Normal"/>
    <w:uiPriority w:val="34"/>
    <w:qFormat/>
    <w:rsid w:val="00FE0ACB"/>
    <w:pPr>
      <w:ind w:left="720"/>
      <w:contextualSpacing/>
    </w:pPr>
    <w:rPr>
      <w:rFonts w:ascii="Calibri" w:eastAsia="Calibri" w:hAnsi="Calibri" w:cs="Times New Roman"/>
      <w:noProof/>
    </w:rPr>
  </w:style>
  <w:style w:type="paragraph" w:customStyle="1" w:styleId="font5">
    <w:name w:val="font5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7">
    <w:name w:val="font7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8">
    <w:name w:val="font8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10">
    <w:name w:val="font10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1">
    <w:name w:val="font11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12">
    <w:name w:val="font12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65">
    <w:name w:val="xl65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5">
    <w:name w:val="xl75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FE0A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FE0A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FE0A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1">
    <w:name w:val="xl91"/>
    <w:basedOn w:val="Normal"/>
    <w:rsid w:val="00FE0A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2">
    <w:name w:val="xl92"/>
    <w:basedOn w:val="Normal"/>
    <w:rsid w:val="00FE0A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3">
    <w:name w:val="xl93"/>
    <w:basedOn w:val="Normal"/>
    <w:rsid w:val="00FE0A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7">
    <w:name w:val="xl97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FE0A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9">
    <w:name w:val="xl99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Normal"/>
    <w:rsid w:val="00FE0A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2">
    <w:name w:val="xl102"/>
    <w:basedOn w:val="Normal"/>
    <w:rsid w:val="00FE0A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3">
    <w:name w:val="xl103"/>
    <w:basedOn w:val="Normal"/>
    <w:rsid w:val="00FE0A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rsid w:val="00FE0A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8">
    <w:name w:val="xl108"/>
    <w:basedOn w:val="Normal"/>
    <w:rsid w:val="00FE0A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9">
    <w:name w:val="xl109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10">
    <w:name w:val="xl110"/>
    <w:basedOn w:val="Normal"/>
    <w:rsid w:val="00FE0A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Normal"/>
    <w:rsid w:val="00FE0AC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al"/>
    <w:rsid w:val="00FE0A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Normal"/>
    <w:rsid w:val="00FE0A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Normal"/>
    <w:rsid w:val="00FE0A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6">
    <w:name w:val="xl116"/>
    <w:basedOn w:val="Normal"/>
    <w:rsid w:val="00FE0A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7">
    <w:name w:val="xl117"/>
    <w:basedOn w:val="Normal"/>
    <w:rsid w:val="00FE0A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8">
    <w:name w:val="xl118"/>
    <w:basedOn w:val="Normal"/>
    <w:rsid w:val="00FE0AC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9">
    <w:name w:val="xl119"/>
    <w:basedOn w:val="Normal"/>
    <w:rsid w:val="00FE0A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20">
    <w:name w:val="xl120"/>
    <w:basedOn w:val="Normal"/>
    <w:rsid w:val="00FE0A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1">
    <w:name w:val="xl121"/>
    <w:basedOn w:val="Normal"/>
    <w:rsid w:val="00FE0A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2">
    <w:name w:val="xl122"/>
    <w:basedOn w:val="Normal"/>
    <w:rsid w:val="00FE0A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3">
    <w:name w:val="xl123"/>
    <w:basedOn w:val="Normal"/>
    <w:rsid w:val="00FE0A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Normal"/>
    <w:rsid w:val="00FE0AC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Normal"/>
    <w:rsid w:val="00FE0A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4238</Words>
  <Characters>24157</Characters>
  <Application>Microsoft Office Word</Application>
  <DocSecurity>0</DocSecurity>
  <Lines>201</Lines>
  <Paragraphs>56</Paragraphs>
  <ScaleCrop>false</ScaleCrop>
  <Company/>
  <LinksUpToDate>false</LinksUpToDate>
  <CharactersWithSpaces>28339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bekirs</dc:creator>
  <cp:keywords/>
  <dc:description/>
  <cp:lastModifiedBy>bekirs</cp:lastModifiedBy>
  <cp:revision>3</cp:revision>
  <dcterms:created xsi:type="dcterms:W3CDTF">2023-07-17T06:22:00Z</dcterms:created>
  <dcterms:modified xsi:type="dcterms:W3CDTF">2023-07-17T06:26:00Z</dcterms:modified>
</cp:coreProperties>
</file>