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E30E" w14:textId="77777777" w:rsidR="00A51BEC" w:rsidRDefault="00A51BEC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F6D98E2" w14:textId="77777777" w:rsidR="00A51BEC" w:rsidRDefault="00A51BEC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23380B2" w14:textId="3ED07D8E"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O B R A Z L O 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Ž</w:t>
      </w:r>
      <w:r w:rsidRPr="00C35CE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 NJ E</w:t>
      </w:r>
    </w:p>
    <w:p w14:paraId="77ED41E9" w14:textId="77777777"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OSNOVNI CILJEVI RAZVOJA </w:t>
      </w:r>
      <w:proofErr w:type="gramStart"/>
      <w:r w:rsidRPr="00C35CE5">
        <w:rPr>
          <w:rFonts w:ascii="Times New Roman" w:hAnsi="Times New Roman" w:cs="Times New Roman"/>
          <w:b/>
          <w:bCs/>
          <w:sz w:val="24"/>
          <w:szCs w:val="24"/>
        </w:rPr>
        <w:t>GRADA  NOVOG</w:t>
      </w:r>
      <w:proofErr w:type="gramEnd"/>
      <w:r w:rsidRPr="00C35CE5">
        <w:rPr>
          <w:rFonts w:ascii="Times New Roman" w:hAnsi="Times New Roman" w:cs="Times New Roman"/>
          <w:b/>
          <w:bCs/>
          <w:sz w:val="24"/>
          <w:szCs w:val="24"/>
        </w:rPr>
        <w:t xml:space="preserve">  PAZARA</w:t>
      </w:r>
    </w:p>
    <w:p w14:paraId="64067590" w14:textId="794BD219"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E5">
        <w:rPr>
          <w:rFonts w:ascii="Times New Roman" w:hAnsi="Times New Roman" w:cs="Times New Roman"/>
          <w:b/>
          <w:bCs/>
          <w:sz w:val="24"/>
          <w:szCs w:val="24"/>
        </w:rPr>
        <w:t>U   202</w:t>
      </w:r>
      <w:r w:rsidR="003F2A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35CE5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66D90122" w14:textId="77777777" w:rsidR="00FE0ACB" w:rsidRPr="00C35CE5" w:rsidRDefault="00FE0ACB" w:rsidP="00FE0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1E29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je ,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krajem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2015.godine,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usvojila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finansijama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period od 2016.god. do 2020.godine,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predviđene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smernice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reformu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finansijama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primenu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budžetiranja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deo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Pomenuta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stavlja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naglasak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prioriteta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optimizaciju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potrošnje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podsticanja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privrednog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rasta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efikasnog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pružanja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kvalitetnih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3687861D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Programski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mehanizama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finansijama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učinkom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veću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uspostavljanje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snažnijih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godišnjih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prioritetnih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veću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transparentnost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potrošnje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0830CD6C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započet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unapređenja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modela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kroz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uvođenje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principa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rodno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budžetiranja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. Do 2020.godine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predviđeno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da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zaokruži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postepenog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uvođenja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rodno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budžetiranja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korisnike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nivoima.Uvodi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građanskog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instrument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transparentnog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iskazivanja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svrhe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53455544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od 2020.godine , da prate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polugodišnje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izveštavanje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učinku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5B215A2D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Makroekonomska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generalno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projektovanih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Uzimajući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aktuelne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trendove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izglede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međunarodno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okruženje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procenjuje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BDP u 2023.godini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iznositi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2,5 %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2024.godini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ubrzati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3,5%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ne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promenjeno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prethodna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1D450A8C" w14:textId="0BDE8D83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makroekonomske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2024.godinu</w:t>
      </w:r>
    </w:p>
    <w:tbl>
      <w:tblPr>
        <w:tblpPr w:leftFromText="180" w:rightFromText="180" w:vertAnchor="text" w:tblpX="8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44"/>
        <w:gridCol w:w="2024"/>
        <w:gridCol w:w="1636"/>
      </w:tblGrid>
      <w:tr w:rsidR="003F2AC3" w:rsidRPr="003F2AC3" w14:paraId="36C4CC14" w14:textId="77777777" w:rsidTr="003F2AC3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948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5D1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16A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F2AC3" w:rsidRPr="003F2AC3" w14:paraId="2634C19C" w14:textId="77777777" w:rsidTr="003F2AC3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FCAC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BDP,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mlrd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RSD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16B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8103,5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508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8773,6</w:t>
            </w:r>
          </w:p>
        </w:tc>
      </w:tr>
      <w:tr w:rsidR="003F2AC3" w:rsidRPr="003F2AC3" w14:paraId="5DCFD6DA" w14:textId="77777777" w:rsidTr="003F2AC3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F02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Stopa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nominalnog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rasta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F2AC3">
              <w:rPr>
                <w:rFonts w:ascii="Times New Roman" w:hAnsi="Times New Roman" w:cs="Times New Roman"/>
                <w:color w:val="000000"/>
              </w:rPr>
              <w:t>BDP,%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88D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77B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3F2AC3" w:rsidRPr="003F2AC3" w14:paraId="4076E64D" w14:textId="77777777" w:rsidTr="003F2AC3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5BFD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Stopa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realnog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rasta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F2AC3">
              <w:rPr>
                <w:rFonts w:ascii="Times New Roman" w:hAnsi="Times New Roman" w:cs="Times New Roman"/>
                <w:color w:val="000000"/>
              </w:rPr>
              <w:t>BDP,%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B6E1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188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3F2AC3" w:rsidRPr="003F2AC3" w14:paraId="706791C9" w14:textId="77777777" w:rsidTr="003F2AC3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E4ED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F2AC3">
              <w:rPr>
                <w:rFonts w:ascii="Times New Roman" w:hAnsi="Times New Roman" w:cs="Times New Roman"/>
                <w:color w:val="000000"/>
              </w:rPr>
              <w:t>Inflacija,prosek</w:t>
            </w:r>
            <w:proofErr w:type="spellEnd"/>
            <w:proofErr w:type="gram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perioda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>,%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07B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3FE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</w:tbl>
    <w:p w14:paraId="73E78AEA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3CC6E26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ab/>
      </w:r>
      <w:r w:rsidRPr="003F2AC3">
        <w:rPr>
          <w:rFonts w:ascii="Times New Roman" w:hAnsi="Times New Roman" w:cs="Times New Roman"/>
          <w:sz w:val="24"/>
          <w:szCs w:val="24"/>
        </w:rPr>
        <w:tab/>
      </w:r>
    </w:p>
    <w:p w14:paraId="44AA6CF7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9230C4E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09BFE9A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B8333DB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3695790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ACEB60E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usmereni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fiskalbne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stabilnosti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BDP .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Srednjoročni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okvir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predviđa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postepeno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deficit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1,5% BDP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2026.godine I pad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ispod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52% BDP.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agregata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period 2024 do 2026.godine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zasnivaju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makroekonomskih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pokazatelja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period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planiranoj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poreskoj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usaglašavanje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direktivama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strukturnim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merama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idalju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reform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velikih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. U 2024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predviđen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deficit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2,2% BDP.</w:t>
      </w:r>
    </w:p>
    <w:p w14:paraId="5AD8FE66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vlast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realno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poći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ostvarenja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tri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kvartala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2023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preocene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zadnji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kvartal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osnov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uvećanje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nominalnog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BDP-a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( 8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>,3%).</w:t>
      </w:r>
    </w:p>
    <w:p w14:paraId="2A9293CA" w14:textId="49548746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mora se,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realno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polazeći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prethodnoj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maksimalne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uštede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:</w:t>
      </w:r>
    </w:p>
    <w:p w14:paraId="01F0BAAE" w14:textId="065BE5F2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F2AC3">
        <w:rPr>
          <w:rFonts w:ascii="Times New Roman" w:hAnsi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za plate </w:t>
      </w:r>
      <w:proofErr w:type="spellStart"/>
      <w:r w:rsidRPr="003F2AC3">
        <w:rPr>
          <w:rFonts w:ascii="Times New Roman" w:hAnsi="Times New Roman"/>
          <w:sz w:val="24"/>
          <w:szCs w:val="24"/>
        </w:rPr>
        <w:t>zadržana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nivou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sredstava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planiranih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zakonom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/>
          <w:sz w:val="24"/>
          <w:szCs w:val="24"/>
        </w:rPr>
        <w:t>budžetu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republike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Srbije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za 2023 </w:t>
      </w:r>
      <w:proofErr w:type="spellStart"/>
      <w:r w:rsidRPr="003F2AC3">
        <w:rPr>
          <w:rFonts w:ascii="Times New Roman" w:hAnsi="Times New Roman"/>
          <w:sz w:val="24"/>
          <w:szCs w:val="24"/>
        </w:rPr>
        <w:t>godinu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F2AC3">
        <w:rPr>
          <w:rFonts w:ascii="Times New Roman" w:hAnsi="Times New Roman"/>
          <w:sz w:val="24"/>
          <w:szCs w:val="24"/>
        </w:rPr>
        <w:t>eventualna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korekcija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ioznosa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planiranihm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za plate </w:t>
      </w:r>
      <w:proofErr w:type="spellStart"/>
      <w:r w:rsidRPr="003F2AC3">
        <w:rPr>
          <w:rFonts w:ascii="Times New Roman" w:hAnsi="Times New Roman"/>
          <w:sz w:val="24"/>
          <w:szCs w:val="24"/>
        </w:rPr>
        <w:t>izvršiće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Pr="003F2AC3">
        <w:rPr>
          <w:rFonts w:ascii="Times New Roman" w:hAnsi="Times New Roman"/>
          <w:sz w:val="24"/>
          <w:szCs w:val="24"/>
        </w:rPr>
        <w:t>toku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budžetske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procedure </w:t>
      </w:r>
      <w:proofErr w:type="spellStart"/>
      <w:r w:rsidRPr="003F2AC3">
        <w:rPr>
          <w:rFonts w:ascii="Times New Roman" w:hAnsi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osnovu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revidirane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fiskalne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strategije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zakona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/>
          <w:sz w:val="24"/>
          <w:szCs w:val="24"/>
        </w:rPr>
        <w:t>budžetu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republike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/>
          <w:sz w:val="24"/>
          <w:szCs w:val="24"/>
        </w:rPr>
        <w:t>Srbije</w:t>
      </w:r>
      <w:proofErr w:type="spellEnd"/>
      <w:r w:rsidRPr="003F2AC3">
        <w:rPr>
          <w:rFonts w:ascii="Times New Roman" w:hAnsi="Times New Roman"/>
          <w:sz w:val="24"/>
          <w:szCs w:val="24"/>
        </w:rPr>
        <w:t xml:space="preserve"> za 2024 godinu </w:t>
      </w:r>
      <w:r>
        <w:rPr>
          <w:rFonts w:ascii="Times New Roman" w:hAnsi="Times New Roman"/>
          <w:sz w:val="24"/>
          <w:szCs w:val="24"/>
        </w:rPr>
        <w:t>i</w:t>
      </w:r>
      <w:r w:rsidRPr="003F2AC3">
        <w:rPr>
          <w:rFonts w:ascii="Times New Roman" w:hAnsi="Times New Roman"/>
          <w:sz w:val="24"/>
          <w:szCs w:val="24"/>
        </w:rPr>
        <w:t xml:space="preserve"> procene potrebnih sredstava za rashode za zaposlene za 2024 godinu.</w:t>
      </w:r>
    </w:p>
    <w:p w14:paraId="3E377226" w14:textId="77777777" w:rsidR="003F2AC3" w:rsidRDefault="003F2AC3" w:rsidP="003F2AC3">
      <w:pPr>
        <w:pStyle w:val="ListParagraph"/>
        <w:ind w:left="1500"/>
        <w:jc w:val="both"/>
        <w:rPr>
          <w:rFonts w:ascii="Times New Roman" w:hAnsi="Times New Roman"/>
          <w:sz w:val="24"/>
          <w:szCs w:val="24"/>
        </w:rPr>
      </w:pPr>
    </w:p>
    <w:p w14:paraId="0F48A85C" w14:textId="77777777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Planirana  masa sredstava za isplatu plata u 2024.godini će ostati na istom nivou ,Ministar nadležan za poslove finansija bliže će urediti način i sadržaj izveštavanja o planiranim i izvršenim sredstvima za ispaltu plata na ekonomskim klasifikacijama 413-416 u 2024.godini.</w:t>
      </w:r>
    </w:p>
    <w:p w14:paraId="716F9D65" w14:textId="77777777" w:rsidR="003F2AC3" w:rsidRPr="003F2AC3" w:rsidRDefault="003F2AC3" w:rsidP="003F2AC3">
      <w:pPr>
        <w:pStyle w:val="ListParagraph"/>
        <w:rPr>
          <w:rFonts w:ascii="Times New Roman" w:hAnsi="Times New Roman"/>
          <w:sz w:val="24"/>
          <w:szCs w:val="24"/>
        </w:rPr>
      </w:pPr>
    </w:p>
    <w:p w14:paraId="2D0F7737" w14:textId="77777777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U koliko u toku 2024.godine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14:paraId="455D4F86" w14:textId="77777777" w:rsidR="003F2AC3" w:rsidRPr="003F2AC3" w:rsidRDefault="003F2AC3" w:rsidP="003F2AC3">
      <w:pPr>
        <w:pStyle w:val="ListParagraph"/>
        <w:rPr>
          <w:rFonts w:ascii="Times New Roman" w:hAnsi="Times New Roman"/>
          <w:sz w:val="24"/>
          <w:szCs w:val="24"/>
        </w:rPr>
      </w:pPr>
    </w:p>
    <w:p w14:paraId="13162C10" w14:textId="77777777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2024.godini</w:t>
      </w:r>
    </w:p>
    <w:p w14:paraId="54A511B1" w14:textId="77777777" w:rsidR="003F2AC3" w:rsidRPr="003F2AC3" w:rsidRDefault="003F2AC3" w:rsidP="003F2AC3">
      <w:pPr>
        <w:pStyle w:val="ListParagraph"/>
        <w:rPr>
          <w:rFonts w:ascii="Times New Roman" w:hAnsi="Times New Roman"/>
          <w:sz w:val="24"/>
          <w:szCs w:val="24"/>
        </w:rPr>
      </w:pPr>
    </w:p>
    <w:p w14:paraId="290F04E0" w14:textId="77777777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Planiranje broja zaposlenih u 2024.godini se povezuje sa članom 8. Zakona o maksimalnom broju koji propisuje da broj zaposlenih u sistemu lokalne samouprave predstavlja ukupan broj zaposlenih u svim organizacionim oblicima jedince lokalne vlasti.</w:t>
      </w:r>
    </w:p>
    <w:p w14:paraId="403ABC86" w14:textId="77777777" w:rsidR="003F2AC3" w:rsidRPr="003F2AC3" w:rsidRDefault="003F2AC3" w:rsidP="003F2AC3">
      <w:pPr>
        <w:pStyle w:val="ListParagraph"/>
        <w:rPr>
          <w:rFonts w:ascii="Times New Roman" w:hAnsi="Times New Roman"/>
          <w:sz w:val="24"/>
          <w:szCs w:val="24"/>
        </w:rPr>
      </w:pPr>
    </w:p>
    <w:p w14:paraId="005E4EB4" w14:textId="77777777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Povećanje relativnog učešća kapitalnih rashoda  budžeta na račun smanjenja tekućih rashoda kroz  štednju i racionalizaciju ,</w:t>
      </w:r>
    </w:p>
    <w:p w14:paraId="3CFDECB0" w14:textId="77777777" w:rsidR="003F2AC3" w:rsidRPr="003F2AC3" w:rsidRDefault="003F2AC3" w:rsidP="003F2AC3">
      <w:pPr>
        <w:pStyle w:val="ListParagraph"/>
        <w:rPr>
          <w:rFonts w:ascii="Times New Roman" w:hAnsi="Times New Roman"/>
          <w:sz w:val="24"/>
          <w:szCs w:val="24"/>
        </w:rPr>
      </w:pPr>
    </w:p>
    <w:p w14:paraId="4F99076C" w14:textId="77777777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Planiranje otplata glavnice duga i kamata</w:t>
      </w:r>
    </w:p>
    <w:p w14:paraId="3CBEA515" w14:textId="77777777" w:rsidR="003F2AC3" w:rsidRPr="003F2AC3" w:rsidRDefault="003F2AC3" w:rsidP="003F2AC3">
      <w:pPr>
        <w:pStyle w:val="ListParagraph"/>
        <w:rPr>
          <w:rFonts w:ascii="Times New Roman" w:hAnsi="Times New Roman"/>
          <w:sz w:val="24"/>
          <w:szCs w:val="24"/>
        </w:rPr>
      </w:pPr>
    </w:p>
    <w:p w14:paraId="6891629B" w14:textId="77777777" w:rsid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 xml:space="preserve">Obezbedjenje naknada za socijalnu zaštitu iz budžeta </w:t>
      </w:r>
    </w:p>
    <w:p w14:paraId="2C80CF44" w14:textId="77777777" w:rsidR="003F2AC3" w:rsidRPr="003F2AC3" w:rsidRDefault="003F2AC3" w:rsidP="003F2AC3">
      <w:pPr>
        <w:pStyle w:val="ListParagraph"/>
        <w:rPr>
          <w:rFonts w:ascii="Times New Roman" w:hAnsi="Times New Roman"/>
          <w:sz w:val="24"/>
          <w:szCs w:val="24"/>
        </w:rPr>
      </w:pPr>
    </w:p>
    <w:p w14:paraId="0DB9A031" w14:textId="0971A9F2" w:rsidR="003F2AC3" w:rsidRPr="003F2AC3" w:rsidRDefault="003F2AC3" w:rsidP="003F2AC3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Planiranje ostalih rashoda na nivo koji je neophodan za normalno funkcionisanje</w:t>
      </w:r>
    </w:p>
    <w:p w14:paraId="25432BF4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1F35703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2024.godinu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opredeljen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je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realnim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projektovanjem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očekivanih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prizmu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ekonomskih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BDP,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zaposlenost,inflacija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lična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potrošnja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kapacitetom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poreske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administracije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upravljamjem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visinom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utvrdjenih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1D1220F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investicije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2024.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biće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usmerene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Izgradnji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održavanju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puteva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izgradnji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infrastructure.</w:t>
      </w:r>
    </w:p>
    <w:p w14:paraId="79BF4306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osnovnog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Grad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utvrdjene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nastaviće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izgradnja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započetih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kapitalno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neophodne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oprema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doprinese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pobaljšanju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podizanju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7207F731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zasnivaće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najugroženijih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obezbedjivanjem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vidove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finasira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Grad .</w:t>
      </w:r>
    </w:p>
    <w:p w14:paraId="43F2C64A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prevashodno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realizovati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adaptaciju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rekonstrukciju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neophodne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modernizovati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kulture.</w:t>
      </w:r>
      <w:proofErr w:type="spellEnd"/>
    </w:p>
    <w:p w14:paraId="4F928253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nastaviće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klubova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u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reguliše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organizacija.Nastavaviće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kapitalno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postojeće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infrastructure. </w:t>
      </w:r>
    </w:p>
    <w:p w14:paraId="6A9CC2D7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turizmu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nastaviti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prezentacijom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turističkih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potencijala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unapredjenjem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turističkih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postavljanjem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signalizacije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53EBDC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nastaviće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pružanjem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neophodnih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gradjanima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036B1029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obezbediće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kvalitet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nastavak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ulaganja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izgradnji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kanalizacione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 xml:space="preserve">infrastructure(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kolektori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).</w:t>
      </w:r>
    </w:p>
    <w:p w14:paraId="714E5E5A" w14:textId="3CAAE6F5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nastaviće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subvencije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stočarske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podizanja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poljoprivrednika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6686A2E5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FEA83FB" w14:textId="135A771D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II    PRAVNI OSNOV ZA </w:t>
      </w:r>
      <w:proofErr w:type="gram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DONOŠENJE  BUDŽETA</w:t>
      </w:r>
      <w:proofErr w:type="gramEnd"/>
    </w:p>
    <w:p w14:paraId="49D16245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3F9137A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(S.G.  br.54/09, 73/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10 )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43.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regulisano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6BCAE2CD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za  2024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.g.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standardnom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klasifikacionom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kontnom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budzetski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zasnovana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smernicama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 2024.godinu.</w:t>
      </w:r>
    </w:p>
    <w:p w14:paraId="20E3DACD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utvrdjeni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pripremu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pripreme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za  2024.godinu.</w:t>
      </w:r>
    </w:p>
    <w:p w14:paraId="73F86999" w14:textId="081B7854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kalendara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propisanog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sprovedene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neophodne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pripremu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 2024.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1BF7F9C3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133565F7" w14:textId="77777777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b/>
          <w:bCs/>
          <w:sz w:val="24"/>
          <w:szCs w:val="24"/>
        </w:rPr>
        <w:t>III    STRUKTURA PRIHODA I PRIMANJA</w:t>
      </w:r>
    </w:p>
    <w:p w14:paraId="02956A15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91367B1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Polazne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osnove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pripremu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dudžetu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za  2023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sadržane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Uputstvu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Vlade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2023.godinu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naredne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regulisano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387DD6C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EA498B5" w14:textId="77777777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b/>
          <w:bCs/>
          <w:sz w:val="24"/>
          <w:szCs w:val="24"/>
        </w:rPr>
        <w:t>MAKRO EKONOMSKI POKAZATELJI</w:t>
      </w:r>
    </w:p>
    <w:p w14:paraId="13A7DF2B" w14:textId="4692672C" w:rsidR="003F2AC3" w:rsidRPr="003F2AC3" w:rsidRDefault="003F2AC3" w:rsidP="003F2AC3">
      <w:pPr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Ekonomska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naredne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biće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usmerena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:</w:t>
      </w:r>
    </w:p>
    <w:p w14:paraId="2A293789" w14:textId="727EEC2E" w:rsidR="003F2AC3" w:rsidRPr="003F2AC3" w:rsidRDefault="003F2AC3" w:rsidP="003F2AC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makroekonomsku  stabilnost</w:t>
      </w:r>
    </w:p>
    <w:p w14:paraId="0A443E1E" w14:textId="17B202BC" w:rsidR="003F2AC3" w:rsidRPr="003F2AC3" w:rsidRDefault="003F2AC3" w:rsidP="003F2AC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 xml:space="preserve">održiv privredni rast  i razvoj konkurentne privrede </w:t>
      </w:r>
    </w:p>
    <w:p w14:paraId="770FB2FA" w14:textId="4EF5D2B5" w:rsidR="003F2AC3" w:rsidRPr="003F2AC3" w:rsidRDefault="003F2AC3" w:rsidP="003F2AC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 xml:space="preserve">povećanje zaposlenosti i standarda stanovništva </w:t>
      </w:r>
    </w:p>
    <w:p w14:paraId="305215DC" w14:textId="44D7D390" w:rsidR="003F2AC3" w:rsidRPr="003F2AC3" w:rsidRDefault="003F2AC3" w:rsidP="003F2AC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 xml:space="preserve">ravnomeran regionalni razvoj  Republike </w:t>
      </w:r>
    </w:p>
    <w:p w14:paraId="67BB36AA" w14:textId="77777777" w:rsidR="003F2AC3" w:rsidRDefault="003F2AC3" w:rsidP="003F2AC3">
      <w:pPr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81D6845" w14:textId="05D216A4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Makroekonomska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stabilnost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zasnovana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trendu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smanjenja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inflacije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deficita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tekućeg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platnog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bilansa.Ostvarenje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cilja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prilagodjavanje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čvrstu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koordinaciju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fiskalne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monetarne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7B36069D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1530AB0" w14:textId="798CE297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PRIHODI  I</w:t>
      </w:r>
      <w:proofErr w:type="gram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 PRIMANJA  BUDŽETA  GRADA  NOVOG PAZARA</w:t>
      </w:r>
    </w:p>
    <w:p w14:paraId="29CDD017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B40ADB3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regulisano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25.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( SG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br.54/09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73/10)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6. I 34.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( SG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br.62/06 ).</w:t>
      </w:r>
    </w:p>
    <w:p w14:paraId="66A3B8C0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pripadaju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izvorni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ostvareni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njenoj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ustupljeni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transferi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77E1CF27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Ukupni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primanja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 2024.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od                         4.421.900.000,00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tekući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4.191.000.000,00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  95,0 %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lastRenderedPageBreak/>
        <w:t>primanja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nefinansijske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81.900.000,00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2,0%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višak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primanja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149.000.000,00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3  % . </w:t>
      </w:r>
    </w:p>
    <w:p w14:paraId="149E0A0D" w14:textId="07A2494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najznačajniji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2.313.000.000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,00 din., 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transferna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945.000.000,00 din. ,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933.000.000,00 din.</w:t>
      </w:r>
    </w:p>
    <w:tbl>
      <w:tblPr>
        <w:tblW w:w="0" w:type="auto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3344"/>
        <w:gridCol w:w="2035"/>
        <w:gridCol w:w="1231"/>
      </w:tblGrid>
      <w:tr w:rsidR="003F2AC3" w:rsidRPr="003F2AC3" w14:paraId="385B0F05" w14:textId="77777777" w:rsidTr="000756BF">
        <w:trPr>
          <w:trHeight w:val="247"/>
        </w:trPr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377" w14:textId="0D3A87BF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F2AC3">
              <w:rPr>
                <w:rFonts w:ascii="Times New Roman" w:hAnsi="Times New Roman" w:cs="Times New Roman"/>
                <w:color w:val="000000"/>
              </w:rPr>
              <w:t>STRUKTURA  TEKUĆIH</w:t>
            </w:r>
            <w:proofErr w:type="gramEnd"/>
            <w:r w:rsidRPr="003F2AC3">
              <w:rPr>
                <w:rFonts w:ascii="Times New Roman" w:hAnsi="Times New Roman" w:cs="Times New Roman"/>
                <w:color w:val="000000"/>
              </w:rPr>
              <w:t xml:space="preserve"> PRIHODA</w:t>
            </w:r>
          </w:p>
        </w:tc>
      </w:tr>
      <w:tr w:rsidR="003F2AC3" w:rsidRPr="003F2AC3" w14:paraId="55880383" w14:textId="77777777" w:rsidTr="003F2AC3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726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89A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D78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745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2AC3" w:rsidRPr="003F2AC3" w14:paraId="48001544" w14:textId="77777777" w:rsidTr="003F2AC3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A370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A47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              PRIHODI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A06D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PLAN ZA                         2024.GOD.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25C6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Struktura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%    </w:t>
            </w:r>
          </w:p>
        </w:tc>
      </w:tr>
      <w:tr w:rsidR="003F2AC3" w:rsidRPr="003F2AC3" w14:paraId="6548230A" w14:textId="77777777" w:rsidTr="003F2AC3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A0C1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D7CB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BC1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F2AC3">
              <w:rPr>
                <w:rFonts w:ascii="Times New Roman" w:hAnsi="Times New Roman" w:cs="Times New Roman"/>
              </w:rPr>
              <w:t xml:space="preserve">       2.118.400.000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101E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       47% </w:t>
            </w:r>
          </w:p>
        </w:tc>
      </w:tr>
      <w:tr w:rsidR="003F2AC3" w:rsidRPr="003F2AC3" w14:paraId="4E2E9B16" w14:textId="77777777" w:rsidTr="003F2AC3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362A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A293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DFE2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F2AC3">
              <w:rPr>
                <w:rFonts w:ascii="Times New Roman" w:hAnsi="Times New Roman" w:cs="Times New Roman"/>
              </w:rPr>
              <w:t>1.209.500.000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F5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27 %</w:t>
            </w:r>
          </w:p>
        </w:tc>
      </w:tr>
      <w:tr w:rsidR="003F2AC3" w:rsidRPr="003F2AC3" w14:paraId="0DE0FAE5" w14:textId="77777777" w:rsidTr="003F2AC3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86F6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I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3F2AC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AC3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81C1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A2A7" w14:textId="77777777" w:rsidR="003F2AC3" w:rsidRPr="003F2AC3" w:rsidRDefault="003F2AC3" w:rsidP="003F2AC3">
            <w:pPr>
              <w:tabs>
                <w:tab w:val="left" w:pos="50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F2AC3">
              <w:rPr>
                <w:rFonts w:ascii="Times New Roman" w:hAnsi="Times New Roman" w:cs="Times New Roman"/>
              </w:rPr>
              <w:t xml:space="preserve"> 945.000.000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BCD5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23 %</w:t>
            </w:r>
          </w:p>
        </w:tc>
      </w:tr>
      <w:tr w:rsidR="003F2AC3" w:rsidRPr="003F2AC3" w14:paraId="2469E38C" w14:textId="77777777" w:rsidTr="003F2AC3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98F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66C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544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F2AC3">
              <w:rPr>
                <w:rFonts w:ascii="Times New Roman" w:hAnsi="Times New Roman" w:cs="Times New Roman"/>
              </w:rPr>
              <w:t xml:space="preserve">  149.000.000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19B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proofErr w:type="gramStart"/>
            <w:r w:rsidRPr="003F2AC3">
              <w:rPr>
                <w:rFonts w:ascii="Times New Roman" w:hAnsi="Times New Roman" w:cs="Times New Roman"/>
                <w:color w:val="000000"/>
              </w:rPr>
              <w:t>3  %</w:t>
            </w:r>
            <w:proofErr w:type="gramEnd"/>
          </w:p>
        </w:tc>
      </w:tr>
      <w:tr w:rsidR="003F2AC3" w:rsidRPr="003F2AC3" w14:paraId="0F55AA32" w14:textId="77777777" w:rsidTr="003F2AC3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C57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E37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7D6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5488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2AC3" w:rsidRPr="003F2AC3" w14:paraId="1A62D5F4" w14:textId="77777777" w:rsidTr="003F2AC3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9FF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7F2E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F2AC3">
              <w:rPr>
                <w:rFonts w:ascii="Times New Roman" w:hAnsi="Times New Roman" w:cs="Times New Roman"/>
                <w:color w:val="000000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F5DB" w14:textId="77777777" w:rsidR="003F2AC3" w:rsidRPr="003F2AC3" w:rsidRDefault="003F2AC3" w:rsidP="003F2A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2AC3">
              <w:rPr>
                <w:rFonts w:ascii="Times New Roman" w:hAnsi="Times New Roman" w:cs="Times New Roman"/>
                <w:b/>
              </w:rPr>
              <w:t>4.421.900.000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ACD8" w14:textId="77777777" w:rsidR="003F2AC3" w:rsidRPr="003F2AC3" w:rsidRDefault="003F2AC3" w:rsidP="003F2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2AC3">
              <w:rPr>
                <w:rFonts w:ascii="Times New Roman" w:hAnsi="Times New Roman" w:cs="Times New Roman"/>
                <w:b/>
                <w:color w:val="000000"/>
              </w:rPr>
              <w:t>100 %</w:t>
            </w:r>
          </w:p>
        </w:tc>
      </w:tr>
    </w:tbl>
    <w:p w14:paraId="0DF45A69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23D1EC5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1295069C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A2B50E8" w14:textId="19765ADE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b/>
          <w:bCs/>
          <w:sz w:val="24"/>
          <w:szCs w:val="24"/>
        </w:rPr>
        <w:t>IV      RASHODI</w:t>
      </w:r>
    </w:p>
    <w:p w14:paraId="6387AAEE" w14:textId="2A7B1E5E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izdaci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izmene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2024.god.planirani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od   4.421.900.000,00  din.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to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:</w:t>
      </w:r>
    </w:p>
    <w:p w14:paraId="08D54E8A" w14:textId="77777777" w:rsidR="003F2AC3" w:rsidRPr="003F2AC3" w:rsidRDefault="003F2AC3" w:rsidP="003F2AC3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 xml:space="preserve">3.632.100.000,00  din.     ili       80,0   %     za tekuće rashode , </w:t>
      </w:r>
    </w:p>
    <w:p w14:paraId="675ABE8F" w14:textId="77777777" w:rsidR="003F2AC3" w:rsidRPr="003F2AC3" w:rsidRDefault="003F2AC3" w:rsidP="003F2AC3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 xml:space="preserve">649.800.000,00  din.     ili       17,0   %     za izdatke za nefinansijsku imovinu </w:t>
      </w:r>
    </w:p>
    <w:p w14:paraId="266E63F5" w14:textId="5909C86C" w:rsidR="003F2AC3" w:rsidRPr="003F2AC3" w:rsidRDefault="003F2AC3" w:rsidP="003F2AC3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F2AC3">
        <w:rPr>
          <w:rFonts w:ascii="Times New Roman" w:hAnsi="Times New Roman"/>
          <w:sz w:val="24"/>
          <w:szCs w:val="24"/>
        </w:rPr>
        <w:t>140.000.000,00 din      ili         3,0  %      za izdatke za otplatu glavnice</w:t>
      </w:r>
    </w:p>
    <w:p w14:paraId="73FD80A6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CBAD774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6E85F85" w14:textId="5048B40B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b/>
          <w:bCs/>
          <w:sz w:val="24"/>
          <w:szCs w:val="24"/>
        </w:rPr>
        <w:t>STRUKTURA RASHODA PO EKONOMSKOJ KLASIFIKACIJI</w:t>
      </w:r>
    </w:p>
    <w:p w14:paraId="2BA55E30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21B2E5C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2024.g.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ekonomskom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klasifikacijom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regulisano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izvršava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jedinstvene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klasifikacije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E278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ACE86E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10198916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EACC39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4D782D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proofErr w:type="gram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Tekući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rashodi</w:t>
      </w:r>
      <w:proofErr w:type="spellEnd"/>
      <w:proofErr w:type="gramEnd"/>
    </w:p>
    <w:p w14:paraId="705F0F82" w14:textId="1B29F90D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( 1.338.050.000.00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37,3 %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korišćenje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usluga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roba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(1.206.690.000,00 din. 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33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,8 %),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otplate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kamata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AC3">
        <w:rPr>
          <w:rFonts w:ascii="Times New Roman" w:hAnsi="Times New Roman" w:cs="Times New Roman"/>
          <w:sz w:val="24"/>
          <w:szCs w:val="24"/>
        </w:rPr>
        <w:t xml:space="preserve"> (40.000.000,00 din.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1,1%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subvencije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(25.000.000,00 din. 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,4  %) ,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donacije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transferi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srednje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osnovne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škole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ostale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(   520.500.000,00 din.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13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,4 %),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socijalna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zaštita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(205.000.000,00 din. 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Ili  5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,7 %),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rashodi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287.760.000,00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8,0 %.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rezevi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9.000.000,00 din.  0.3 %</w:t>
      </w:r>
    </w:p>
    <w:p w14:paraId="605AD54B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7B595FC" w14:textId="3FF1779C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41 </w:t>
      </w:r>
      <w:proofErr w:type="gram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Rashodi</w:t>
      </w:r>
      <w:proofErr w:type="spellEnd"/>
      <w:proofErr w:type="gram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zaposlene</w:t>
      </w:r>
      <w:proofErr w:type="spellEnd"/>
    </w:p>
    <w:p w14:paraId="53211E85" w14:textId="344425B0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  1.338.050.000,00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din.i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plate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dodatke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doprinose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teret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poslodavca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A533566" w14:textId="1AB5CFFF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ab/>
      </w:r>
    </w:p>
    <w:p w14:paraId="07590950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411 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proofErr w:type="gram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 412   Plate,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dodaci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naknade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zaposlenih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socijalni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doprinosi</w:t>
      </w:r>
      <w:proofErr w:type="spellEnd"/>
    </w:p>
    <w:p w14:paraId="56253107" w14:textId="4BF92E1F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zarade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direktnih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indirektnih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budzeta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1.261.600.000,00 din.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( S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,G. RS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54/09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73/10)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Vlade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6BD6AEE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6001009" w14:textId="2606FF6F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413  </w:t>
      </w:r>
      <w:r w:rsidR="00A51BEC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Naknada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u nature</w:t>
      </w:r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3.500.000,00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dinara</w:t>
      </w:r>
      <w:proofErr w:type="spellEnd"/>
    </w:p>
    <w:p w14:paraId="596C4017" w14:textId="685595EB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414 -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Sociijalna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davanja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24.350.000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,00 din.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otpremnine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zaposlenima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direktnih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indirektnih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opštim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pojedinačnim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AA4B8A" w14:textId="77777777" w:rsid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415 -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Naknade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zaposlene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20.500.000,00 din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prevoz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dolaska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odlaska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posla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0065A612" w14:textId="15FA05E8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416 -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Nagrade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bonusi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posebni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rashodi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obimu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28.100.000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din.i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jubilarne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023983C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0941D0D" w14:textId="33C14E61" w:rsidR="003F2AC3" w:rsidRPr="003F2AC3" w:rsidRDefault="003F2AC3" w:rsidP="003F2AC3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42 –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Korišćenje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usluga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b/>
          <w:bCs/>
          <w:sz w:val="24"/>
          <w:szCs w:val="24"/>
        </w:rPr>
        <w:t>roba</w:t>
      </w:r>
      <w:proofErr w:type="spellEnd"/>
    </w:p>
    <w:p w14:paraId="0115CB52" w14:textId="77777777" w:rsidR="00A51BEC" w:rsidRDefault="003F2AC3" w:rsidP="00A51BEC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421 </w:t>
      </w: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Stalni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troškovi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269.550.000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din.i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platnog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prometa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bankarskih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energetske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37FA8747" w14:textId="77777777" w:rsidR="00A51BEC" w:rsidRDefault="00A51BEC" w:rsidP="00A51BEC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422 -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Troškovi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putovanja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11.800.000,00 din.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službenih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putovanja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zemlji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70CF9662" w14:textId="77777777" w:rsidR="00A51BEC" w:rsidRDefault="00A51BEC" w:rsidP="00A51BEC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423 -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Usluge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po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ugovoru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298.590.000,00 din.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administrativne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kompjuterske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usavrsavanja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domacinstva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ugostiteljstva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odbore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razne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higijena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urbanizam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).</w:t>
      </w:r>
    </w:p>
    <w:p w14:paraId="68048EBC" w14:textId="77777777" w:rsidR="00A51BEC" w:rsidRDefault="00A51BEC" w:rsidP="00A51BEC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424 -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Specijalizovane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 485.250.000,00 din.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obuhvaćene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predhodno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pomenutim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uslugama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očuvanje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sredine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).</w:t>
      </w:r>
    </w:p>
    <w:p w14:paraId="0C57B2E9" w14:textId="77777777" w:rsidR="00A51BEC" w:rsidRDefault="00A51BEC" w:rsidP="00A51BEC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425 -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Tekuće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popravke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održavanje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29.900.000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,00 din.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popravke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zgrada,objekata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opreme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saobraćajne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infrastructure.</w:t>
      </w:r>
    </w:p>
    <w:p w14:paraId="1D1AA172" w14:textId="0BECD57C" w:rsidR="003F2AC3" w:rsidRPr="003F2AC3" w:rsidRDefault="00A51BEC" w:rsidP="00A51BEC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426 -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Materijal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111.600.000,00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34EFED4" w14:textId="511C217C" w:rsidR="00A51BEC" w:rsidRPr="00A51BEC" w:rsidRDefault="003F2AC3" w:rsidP="00A51BE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A51BEC">
        <w:rPr>
          <w:rFonts w:ascii="Times New Roman" w:hAnsi="Times New Roman"/>
          <w:sz w:val="24"/>
          <w:szCs w:val="24"/>
        </w:rPr>
        <w:t xml:space="preserve">troškovi za nabavku kancelarijskog materijala , publikacija , časopisa i glasila za zaposlene </w:t>
      </w:r>
    </w:p>
    <w:p w14:paraId="49688A3D" w14:textId="2C7EF87D" w:rsidR="00A51BEC" w:rsidRPr="00A51BEC" w:rsidRDefault="003F2AC3" w:rsidP="00A51BE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A51BEC">
        <w:rPr>
          <w:rFonts w:ascii="Times New Roman" w:hAnsi="Times New Roman"/>
          <w:sz w:val="24"/>
          <w:szCs w:val="24"/>
        </w:rPr>
        <w:t xml:space="preserve">nabavka materijala za saobraćaj (benzin, dizel gorivo , ulje i mazivo) </w:t>
      </w:r>
    </w:p>
    <w:p w14:paraId="20EE911B" w14:textId="106DA02E" w:rsidR="003F2AC3" w:rsidRPr="00A51BEC" w:rsidRDefault="003F2AC3" w:rsidP="00A51BE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A51BEC">
        <w:rPr>
          <w:rFonts w:ascii="Times New Roman" w:hAnsi="Times New Roman"/>
          <w:sz w:val="24"/>
          <w:szCs w:val="24"/>
        </w:rPr>
        <w:t xml:space="preserve">nabavka materijala za održavanje higijene i materijala za posebne namene .  </w:t>
      </w:r>
    </w:p>
    <w:p w14:paraId="1C000EDC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946DB2C" w14:textId="1688DE44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44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Otplata</w:t>
      </w:r>
      <w:proofErr w:type="spellEnd"/>
      <w:proofErr w:type="gram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kamata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pratećih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troškova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zaduženja</w:t>
      </w:r>
      <w:proofErr w:type="spellEnd"/>
    </w:p>
    <w:p w14:paraId="12E2FE5A" w14:textId="3BFFA5B0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za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domaćih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zaduženja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40.100.000,00 din.</w:t>
      </w:r>
    </w:p>
    <w:p w14:paraId="4CA1D040" w14:textId="4A9A68E6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45    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Subvencije</w:t>
      </w:r>
      <w:proofErr w:type="spellEnd"/>
    </w:p>
    <w:p w14:paraId="187CE253" w14:textId="20B71CEB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Subvencije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nefinansijskim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preduzećima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25.000.000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,00 din.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JP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toplana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Novi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</w:t>
      </w:r>
      <w:proofErr w:type="spellEnd"/>
    </w:p>
    <w:p w14:paraId="7FCC09C8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1A03E3C" w14:textId="77777777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proofErr w:type="spellStart"/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Donacije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dotacije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transferi</w:t>
      </w:r>
      <w:proofErr w:type="spellEnd"/>
    </w:p>
    <w:p w14:paraId="54D49C10" w14:textId="2BDD2349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2023.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520.500.000,00 din. za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dotacije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donacije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transfere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27AE8827" w14:textId="4AD95C1A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463 </w:t>
      </w:r>
      <w:r w:rsidR="00A51BEC" w:rsidRPr="00A51BE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Transferi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ostalim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nivoima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vlasti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   503.000.000,00 din. od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379.500.000,00 din.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transfere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123.500.000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,00 din.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transfere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DAA1835" w14:textId="2126567D" w:rsidR="003F2AC3" w:rsidRPr="00A51BEC" w:rsidRDefault="00A51BEC" w:rsidP="003F2AC3">
      <w:pPr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Tekući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transferi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ostalim</w:t>
      </w:r>
      <w:proofErr w:type="spellEnd"/>
      <w:proofErr w:type="gram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nivoima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vlasti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6D338ED4" w14:textId="77777777" w:rsidR="00A51BEC" w:rsidRDefault="003F2AC3" w:rsidP="00A51BE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A51BEC">
        <w:rPr>
          <w:rFonts w:ascii="Times New Roman" w:hAnsi="Times New Roman"/>
          <w:sz w:val="24"/>
          <w:szCs w:val="24"/>
        </w:rPr>
        <w:t>za     16   osnovih škola planirana su sredstava u iznosu od  215.000.000,00 din.  na ime tekućih rashoda  (socijalna davanja , naknade za zaposlene , stalni troškovi , troškovi putovanja, usluge po ugovoru , specijalizovane usluge , tekuće odrzavanje  u skladu sa Zakonom o osnovama sistema obrazovanja i vaspitanja</w:t>
      </w:r>
    </w:p>
    <w:p w14:paraId="17558884" w14:textId="2277E908" w:rsidR="003F2AC3" w:rsidRPr="00A51BEC" w:rsidRDefault="003F2AC3" w:rsidP="00A51BE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A51BEC">
        <w:rPr>
          <w:rFonts w:ascii="Times New Roman" w:hAnsi="Times New Roman"/>
          <w:sz w:val="24"/>
          <w:szCs w:val="24"/>
        </w:rPr>
        <w:t xml:space="preserve">za    6  srednjih škola  planirana su sredstava u iznosu od 96.000.000,00 din.  na ime tekućih </w:t>
      </w:r>
      <w:proofErr w:type="gramStart"/>
      <w:r w:rsidRPr="00A51BEC">
        <w:rPr>
          <w:rFonts w:ascii="Times New Roman" w:hAnsi="Times New Roman"/>
          <w:sz w:val="24"/>
          <w:szCs w:val="24"/>
        </w:rPr>
        <w:t>rashoda  (</w:t>
      </w:r>
      <w:proofErr w:type="gramEnd"/>
      <w:r w:rsidRPr="00A51BEC">
        <w:rPr>
          <w:rFonts w:ascii="Times New Roman" w:hAnsi="Times New Roman"/>
          <w:sz w:val="24"/>
          <w:szCs w:val="24"/>
        </w:rPr>
        <w:t>socijalna davanja , naknade za zaposlene , stalni troškovi , troškovi putovanja, usluge po ugovoru , specijalizovane usluge , tekuće održavanje  u skladu sa Zakonom o osnovama sistema obrazovanja i vaspitanja</w:t>
      </w:r>
    </w:p>
    <w:p w14:paraId="4762FB42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B4DDB82" w14:textId="59F95DCA" w:rsidR="003F2AC3" w:rsidRPr="00A51BEC" w:rsidRDefault="003F2AC3" w:rsidP="003F2AC3">
      <w:pPr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>2-Kapitalni tr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ansferi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ostalin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nivoima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vlasti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2FBCA8DB" w14:textId="77777777" w:rsidR="00A51BEC" w:rsidRDefault="003F2AC3" w:rsidP="00A51BEC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51BEC">
        <w:rPr>
          <w:rFonts w:ascii="Times New Roman" w:hAnsi="Times New Roman"/>
          <w:sz w:val="24"/>
          <w:szCs w:val="24"/>
        </w:rPr>
        <w:t>za kapitalno investiranje i održavanje objekata i opreme u oblasti osnovnog obrazovanja  planirano je  47.500.000,00 din.u skladu sa programom investiranja.</w:t>
      </w:r>
    </w:p>
    <w:p w14:paraId="313F3D3B" w14:textId="3FF1865E" w:rsidR="003F2AC3" w:rsidRPr="00A51BEC" w:rsidRDefault="003F2AC3" w:rsidP="00A51BEC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A51BEC">
        <w:rPr>
          <w:rFonts w:ascii="Times New Roman" w:hAnsi="Times New Roman"/>
          <w:sz w:val="24"/>
          <w:szCs w:val="24"/>
        </w:rPr>
        <w:t>za kapitalno investiranje i održavanje objekata i opreme u oblasti srednjeg obrazovanja  planirano je    17.500.000,00 din.u skladu sa programom investiranja</w:t>
      </w:r>
    </w:p>
    <w:p w14:paraId="621CC4D7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4B86618" w14:textId="507B6373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464 </w:t>
      </w:r>
      <w:r w:rsidR="00A51BEC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Tekuće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transferi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organizacijama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15.000.000,00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dinara</w:t>
      </w:r>
      <w:proofErr w:type="spellEnd"/>
    </w:p>
    <w:p w14:paraId="4BB494FA" w14:textId="52BC68D4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465 </w:t>
      </w:r>
      <w:r w:rsidR="00A51BEC" w:rsidRPr="00A51BE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Ostale tekuće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donacije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 2.500.000,00 din      </w:t>
      </w:r>
    </w:p>
    <w:p w14:paraId="41BD6386" w14:textId="77777777" w:rsidR="00A51BEC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F2C8CE8" w14:textId="23EA8B5F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47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Socijalno</w:t>
      </w:r>
      <w:proofErr w:type="spellEnd"/>
      <w:proofErr w:type="gram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osiguranje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socijalna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zastita</w:t>
      </w:r>
      <w:proofErr w:type="spellEnd"/>
    </w:p>
    <w:p w14:paraId="53C208E3" w14:textId="0AE44002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472 </w:t>
      </w:r>
      <w:r w:rsidR="00A51BEC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Naknade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socijalnu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zaštitu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budžeta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205.000.000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,00 din.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razne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vidove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proširenih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vidova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rad.</w:t>
      </w:r>
    </w:p>
    <w:p w14:paraId="55DBD3CA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D58D8BA" w14:textId="2BC86DA3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48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proofErr w:type="gram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rashodi</w:t>
      </w:r>
      <w:proofErr w:type="spellEnd"/>
    </w:p>
    <w:p w14:paraId="22576FB3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287.760.000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din.i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to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dotacije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nevladinim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,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poreze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takse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novčane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kazne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po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rešenjima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elementarne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nepogode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A54844" w14:textId="0F54D9A3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481 -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Dotacije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nevladinim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organizacujama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240.800.000,00 din.</w:t>
      </w:r>
    </w:p>
    <w:p w14:paraId="29CFF155" w14:textId="1DE30FFA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rekreativnog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283.900.000,00 din.</w:t>
      </w:r>
    </w:p>
    <w:p w14:paraId="67A6FE7D" w14:textId="452E081F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socijalno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humanitarnih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spadaju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3F2AC3">
        <w:rPr>
          <w:rFonts w:ascii="Times New Roman" w:hAnsi="Times New Roman" w:cs="Times New Roman"/>
          <w:sz w:val="24"/>
          <w:szCs w:val="24"/>
        </w:rPr>
        <w:t>Medju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opst.org.saveza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slepih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Udruzenje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gluvih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nagluvih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medjuopst.org. CIR-a,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Udruzenje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MNRL –o,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Drustvo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cerebralnu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paralizu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paraplegičara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gradski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SUBNOR-a,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Crveni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KPZ),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51.000.000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>,00 din.</w:t>
      </w:r>
    </w:p>
    <w:p w14:paraId="55F47987" w14:textId="11FA7929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3F2AC3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programskih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(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stranke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2.100.000,00 din. ,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Rodna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ravnopravnost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500.000,00 din.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,.NALED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500.000,00din ,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psihologa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14.000.000,00 din,  SEDA  16.500.000,00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din.Verske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6.000.000,00 din.,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informisanost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) 46.000.000,00 din ,  BNVS 5.000.000,00 din.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neprofitne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AC3">
        <w:rPr>
          <w:rFonts w:ascii="Times New Roman" w:hAnsi="Times New Roman" w:cs="Times New Roman"/>
          <w:sz w:val="24"/>
          <w:szCs w:val="24"/>
        </w:rPr>
        <w:t>od  12.000.000</w:t>
      </w:r>
      <w:proofErr w:type="gramEnd"/>
      <w:r w:rsidRPr="003F2AC3">
        <w:rPr>
          <w:rFonts w:ascii="Times New Roman" w:hAnsi="Times New Roman" w:cs="Times New Roman"/>
          <w:sz w:val="24"/>
          <w:szCs w:val="24"/>
        </w:rPr>
        <w:t>,00 din.)</w:t>
      </w:r>
    </w:p>
    <w:p w14:paraId="1EE7266F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4BA2381" w14:textId="70239AF1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482 -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Porezi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obavezne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takse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kazne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2.600.000,00 din. , 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republičke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sudske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takse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ragistraciju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.</w:t>
      </w:r>
    </w:p>
    <w:p w14:paraId="13F0C1AA" w14:textId="126D81A2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483 -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Novčane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kazne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penali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po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rešenju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sudova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9.360.000,00 din.za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izvršnih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rešenja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sudova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redovnim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prinudne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naplate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.</w:t>
      </w:r>
    </w:p>
    <w:p w14:paraId="16425A45" w14:textId="06B3A011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484 -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Naknada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štete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usled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elementarnih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nepogoda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u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 20.000.000,00 din.</w:t>
      </w:r>
    </w:p>
    <w:p w14:paraId="7E4FA695" w14:textId="26C6762B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485 </w:t>
      </w:r>
      <w:r w:rsidR="00A51BEC" w:rsidRPr="00A51BE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Naknade štete od povrede nanete od državnih organa</w:t>
      </w:r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15.000.000,00 din.                                       </w:t>
      </w:r>
    </w:p>
    <w:p w14:paraId="50B69A2A" w14:textId="76237974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49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Administrativni</w:t>
      </w:r>
      <w:proofErr w:type="spellEnd"/>
      <w:proofErr w:type="gram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transferi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budžeta</w:t>
      </w:r>
      <w:proofErr w:type="spellEnd"/>
    </w:p>
    <w:p w14:paraId="084516CD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D886C45" w14:textId="17FB4033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499 -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Sredstva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rezerve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9.000.000,00 din.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to deo 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stalnu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budžetsku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rezervu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3.000.000,00 din.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6.000.000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,00 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budžetsku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rezervu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.</w:t>
      </w:r>
    </w:p>
    <w:p w14:paraId="5A23DBA1" w14:textId="1CDAB048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Izdaci</w:t>
      </w:r>
      <w:proofErr w:type="spellEnd"/>
      <w:proofErr w:type="gram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nefinansijsku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imovinu</w:t>
      </w:r>
      <w:proofErr w:type="spellEnd"/>
    </w:p>
    <w:p w14:paraId="1D009912" w14:textId="2E9B7D51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F2AC3" w:rsidRPr="003F2AC3">
        <w:rPr>
          <w:rFonts w:ascii="Times New Roman" w:hAnsi="Times New Roman" w:cs="Times New Roman"/>
          <w:sz w:val="24"/>
          <w:szCs w:val="24"/>
        </w:rPr>
        <w:t>lanirani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od  649.800.000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,00 din.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sastoje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se od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579.800.000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,00 din.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      91. %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ukupnih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od  70.000.000,00 din. 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9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,0  % .</w:t>
      </w:r>
    </w:p>
    <w:p w14:paraId="1A38CBF5" w14:textId="2374E264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51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Osnovna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sredstva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zgrade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gradjevinske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objekte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mašine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opremu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nematerijalnu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.</w:t>
      </w:r>
    </w:p>
    <w:p w14:paraId="4EF11B11" w14:textId="35E93083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511 -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Zgrade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građevinski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objekti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je  532.800.000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,00 din.za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kapitalno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zgrada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projektno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razne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komunalna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infrastruktura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, sport)</w:t>
      </w:r>
    </w:p>
    <w:p w14:paraId="12A82FB3" w14:textId="6F05A182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512 -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Mašine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oprema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je  83.550.000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,00 din. 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mašina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AC3"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opreme</w:t>
      </w:r>
      <w:proofErr w:type="spellEnd"/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>.</w:t>
      </w:r>
    </w:p>
    <w:p w14:paraId="377EC2C7" w14:textId="267E2964" w:rsidR="003F2AC3" w:rsidRPr="003F2AC3" w:rsidRDefault="00A51BEC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515 - </w:t>
      </w:r>
      <w:proofErr w:type="spell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Nematerijalna</w:t>
      </w:r>
      <w:proofErr w:type="spellEnd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3F2AC3" w:rsidRPr="00A51BEC">
        <w:rPr>
          <w:rFonts w:ascii="Times New Roman" w:hAnsi="Times New Roman" w:cs="Times New Roman"/>
          <w:b/>
          <w:bCs/>
          <w:sz w:val="24"/>
          <w:szCs w:val="24"/>
        </w:rPr>
        <w:t>imovina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 1.450.000,00 din. za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C3" w:rsidRPr="003F2AC3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="003F2AC3" w:rsidRPr="003F2AC3">
        <w:rPr>
          <w:rFonts w:ascii="Times New Roman" w:hAnsi="Times New Roman" w:cs="Times New Roman"/>
          <w:sz w:val="24"/>
          <w:szCs w:val="24"/>
        </w:rPr>
        <w:t>.</w:t>
      </w:r>
    </w:p>
    <w:p w14:paraId="15032649" w14:textId="77777777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34E077C4" w14:textId="5106BB9E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54 –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Prirodna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imovina</w:t>
      </w:r>
      <w:proofErr w:type="spellEnd"/>
    </w:p>
    <w:p w14:paraId="41A62AAC" w14:textId="0A587185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541 </w:t>
      </w:r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Zemljište</w:t>
      </w:r>
      <w:proofErr w:type="spellEnd"/>
      <w:proofErr w:type="gramEnd"/>
      <w:r w:rsidRPr="003F2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Budžetom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  70.000.000,00 din.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sporazumima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sudskim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rešenjima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otkupa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gradjevinskog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AC3">
        <w:rPr>
          <w:rFonts w:ascii="Times New Roman" w:hAnsi="Times New Roman" w:cs="Times New Roman"/>
          <w:sz w:val="24"/>
          <w:szCs w:val="24"/>
        </w:rPr>
        <w:t>zemljista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F2FC04B" w14:textId="7E07BBFA" w:rsidR="003F2AC3" w:rsidRPr="00A51BEC" w:rsidRDefault="003F2AC3" w:rsidP="00A51BEC">
      <w:pPr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61 –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Otplata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glavnice</w:t>
      </w:r>
      <w:proofErr w:type="spellEnd"/>
    </w:p>
    <w:p w14:paraId="2516260B" w14:textId="09C35CA9" w:rsidR="003F2AC3" w:rsidRPr="003F2AC3" w:rsidRDefault="003F2AC3" w:rsidP="003F2AC3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611 </w:t>
      </w:r>
      <w:proofErr w:type="gram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Otplata</w:t>
      </w:r>
      <w:proofErr w:type="spellEnd"/>
      <w:proofErr w:type="gram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glavnice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domaćim</w:t>
      </w:r>
      <w:proofErr w:type="spellEnd"/>
      <w:r w:rsidRPr="00A5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1BEC">
        <w:rPr>
          <w:rFonts w:ascii="Times New Roman" w:hAnsi="Times New Roman" w:cs="Times New Roman"/>
          <w:b/>
          <w:bCs/>
          <w:sz w:val="24"/>
          <w:szCs w:val="24"/>
        </w:rPr>
        <w:t>kreditorima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od    140.000.000,00 din.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otplatu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glavnice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domaćim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kreditorima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zaduženju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infrastrukturne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AC3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3F2AC3">
        <w:rPr>
          <w:rFonts w:ascii="Times New Roman" w:hAnsi="Times New Roman" w:cs="Times New Roman"/>
          <w:sz w:val="24"/>
          <w:szCs w:val="24"/>
        </w:rPr>
        <w:t>.</w:t>
      </w:r>
    </w:p>
    <w:p w14:paraId="3F65D6AC" w14:textId="4DEE9427" w:rsidR="00FE0ACB" w:rsidRPr="00C35CE5" w:rsidRDefault="00FE0ACB" w:rsidP="00A51BEC">
      <w:pPr>
        <w:tabs>
          <w:tab w:val="left" w:pos="9120"/>
        </w:tabs>
        <w:ind w:left="36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5CE5">
        <w:rPr>
          <w:rFonts w:ascii="Times New Roman" w:hAnsi="Times New Roman" w:cs="Times New Roman"/>
          <w:sz w:val="24"/>
          <w:szCs w:val="24"/>
        </w:rPr>
        <w:t>Rukovodilac</w:t>
      </w:r>
      <w:proofErr w:type="spellEnd"/>
      <w:r w:rsidRPr="00C35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CE5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Pr="00C35CE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35CE5">
        <w:rPr>
          <w:rFonts w:ascii="Times New Roman" w:hAnsi="Times New Roman" w:cs="Times New Roman"/>
          <w:sz w:val="24"/>
          <w:szCs w:val="24"/>
        </w:rPr>
        <w:t>finansije</w:t>
      </w:r>
      <w:proofErr w:type="spellEnd"/>
    </w:p>
    <w:p w14:paraId="4F5C3348" w14:textId="23959157" w:rsidR="001331FD" w:rsidRPr="00C35CE5" w:rsidRDefault="00FE0ACB" w:rsidP="00A51BEC">
      <w:pPr>
        <w:tabs>
          <w:tab w:val="left" w:pos="9120"/>
        </w:tabs>
        <w:ind w:left="36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5CE5">
        <w:rPr>
          <w:rFonts w:ascii="Times New Roman" w:hAnsi="Times New Roman" w:cs="Times New Roman"/>
          <w:sz w:val="24"/>
          <w:szCs w:val="24"/>
        </w:rPr>
        <w:t>Mihrija</w:t>
      </w:r>
      <w:proofErr w:type="spellEnd"/>
      <w:r w:rsidRPr="00C35C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5CE5">
        <w:rPr>
          <w:rFonts w:ascii="Times New Roman" w:hAnsi="Times New Roman" w:cs="Times New Roman"/>
          <w:sz w:val="24"/>
          <w:szCs w:val="24"/>
        </w:rPr>
        <w:t>Zeković</w:t>
      </w:r>
      <w:proofErr w:type="spellEnd"/>
      <w:proofErr w:type="gramEnd"/>
    </w:p>
    <w:sectPr w:rsidR="001331FD" w:rsidRPr="00C35CE5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5FB1"/>
    <w:multiLevelType w:val="hybridMultilevel"/>
    <w:tmpl w:val="B4163B3E"/>
    <w:lvl w:ilvl="0" w:tplc="2D8CCFD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2BB"/>
    <w:multiLevelType w:val="hybridMultilevel"/>
    <w:tmpl w:val="C8C0F908"/>
    <w:lvl w:ilvl="0" w:tplc="2D8CCFD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5966BC"/>
    <w:multiLevelType w:val="hybridMultilevel"/>
    <w:tmpl w:val="0E64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5195"/>
    <w:multiLevelType w:val="hybridMultilevel"/>
    <w:tmpl w:val="E9EE15AC"/>
    <w:lvl w:ilvl="0" w:tplc="2D8CCFD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4036FF7"/>
    <w:multiLevelType w:val="hybridMultilevel"/>
    <w:tmpl w:val="61F8C700"/>
    <w:lvl w:ilvl="0" w:tplc="2D8CCFD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1" w15:restartNumberingAfterBreak="0">
    <w:nsid w:val="1F4D7673"/>
    <w:multiLevelType w:val="hybridMultilevel"/>
    <w:tmpl w:val="BB343728"/>
    <w:lvl w:ilvl="0" w:tplc="2D8CCFD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4A8B7A82"/>
    <w:multiLevelType w:val="hybridMultilevel"/>
    <w:tmpl w:val="63AC4190"/>
    <w:lvl w:ilvl="0" w:tplc="2D8CCFD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6D02233"/>
    <w:multiLevelType w:val="hybridMultilevel"/>
    <w:tmpl w:val="8BC8D860"/>
    <w:lvl w:ilvl="0" w:tplc="2D8CCFD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8" w15:restartNumberingAfterBreak="0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E4BED"/>
    <w:multiLevelType w:val="hybridMultilevel"/>
    <w:tmpl w:val="FF2CF5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010AF"/>
    <w:multiLevelType w:val="hybridMultilevel"/>
    <w:tmpl w:val="3080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 w15:restartNumberingAfterBreak="0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4"/>
  </w:num>
  <w:num w:numId="3">
    <w:abstractNumId w:val="5"/>
  </w:num>
  <w:num w:numId="4">
    <w:abstractNumId w:val="18"/>
  </w:num>
  <w:num w:numId="5">
    <w:abstractNumId w:val="19"/>
  </w:num>
  <w:num w:numId="6">
    <w:abstractNumId w:val="33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25"/>
  </w:num>
  <w:num w:numId="17">
    <w:abstractNumId w:val="13"/>
  </w:num>
  <w:num w:numId="18">
    <w:abstractNumId w:val="15"/>
  </w:num>
  <w:num w:numId="19">
    <w:abstractNumId w:val="26"/>
  </w:num>
  <w:num w:numId="20">
    <w:abstractNumId w:val="28"/>
  </w:num>
  <w:num w:numId="21">
    <w:abstractNumId w:val="32"/>
  </w:num>
  <w:num w:numId="22">
    <w:abstractNumId w:val="31"/>
  </w:num>
  <w:num w:numId="23">
    <w:abstractNumId w:val="1"/>
  </w:num>
  <w:num w:numId="24">
    <w:abstractNumId w:val="14"/>
  </w:num>
  <w:num w:numId="25">
    <w:abstractNumId w:val="9"/>
  </w:num>
  <w:num w:numId="26">
    <w:abstractNumId w:val="30"/>
  </w:num>
  <w:num w:numId="27">
    <w:abstractNumId w:val="6"/>
  </w:num>
  <w:num w:numId="28">
    <w:abstractNumId w:val="29"/>
  </w:num>
  <w:num w:numId="29">
    <w:abstractNumId w:val="8"/>
  </w:num>
  <w:num w:numId="30">
    <w:abstractNumId w:val="7"/>
  </w:num>
  <w:num w:numId="31">
    <w:abstractNumId w:val="2"/>
  </w:num>
  <w:num w:numId="32">
    <w:abstractNumId w:val="11"/>
  </w:num>
  <w:num w:numId="33">
    <w:abstractNumId w:val="22"/>
  </w:num>
  <w:num w:numId="34">
    <w:abstractNumId w:val="2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ACB"/>
    <w:rsid w:val="001331FD"/>
    <w:rsid w:val="003F2AC3"/>
    <w:rsid w:val="00A51BEC"/>
    <w:rsid w:val="00C35CE5"/>
    <w:rsid w:val="00EA1773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1FE3"/>
  <w15:docId w15:val="{8E0C46EB-6F39-4194-9CD4-B3DA5866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73"/>
  </w:style>
  <w:style w:type="paragraph" w:styleId="Heading1">
    <w:name w:val="heading 1"/>
    <w:basedOn w:val="Normal"/>
    <w:next w:val="Normal"/>
    <w:link w:val="Heading1Char"/>
    <w:qFormat/>
    <w:rsid w:val="00FE0A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FE0A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v-SE"/>
    </w:rPr>
  </w:style>
  <w:style w:type="paragraph" w:styleId="Heading3">
    <w:name w:val="heading 3"/>
    <w:basedOn w:val="Normal"/>
    <w:next w:val="Normal"/>
    <w:link w:val="Heading3Char"/>
    <w:qFormat/>
    <w:rsid w:val="00FE0AC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FE0ACB"/>
    <w:pPr>
      <w:keepNext/>
      <w:spacing w:after="0" w:line="240" w:lineRule="auto"/>
      <w:ind w:firstLine="70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E0ACB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E0ACB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rsid w:val="00FE0ACB"/>
    <w:pPr>
      <w:keepNext/>
      <w:tabs>
        <w:tab w:val="num" w:pos="1296"/>
      </w:tabs>
      <w:suppressAutoHyphens/>
      <w:spacing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b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rsid w:val="00FE0ACB"/>
    <w:pPr>
      <w:keepNext/>
      <w:tabs>
        <w:tab w:val="num" w:pos="1440"/>
      </w:tabs>
      <w:suppressAutoHyphens/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b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FE0AC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0ACB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FE0ACB"/>
    <w:rPr>
      <w:rFonts w:ascii="Times New Roman" w:eastAsia="Times New Roman" w:hAnsi="Times New Roman" w:cs="Times New Roman"/>
      <w:b/>
      <w:bCs/>
      <w:sz w:val="24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FE0ACB"/>
    <w:rPr>
      <w:rFonts w:ascii="Times New Roman" w:eastAsia="Times New Roman" w:hAnsi="Times New Roman" w:cs="Times New Roman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rsid w:val="00FE0A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E0A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E0ACB"/>
    <w:rPr>
      <w:rFonts w:ascii="Times New Roman" w:eastAsia="Times New Roman" w:hAnsi="Times New Roman" w:cs="Times New Roman"/>
      <w:b/>
      <w:sz w:val="24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FE0ACB"/>
    <w:rPr>
      <w:rFonts w:ascii="Times New Roman" w:eastAsia="Times New Roman" w:hAnsi="Times New Roman" w:cs="Times New Roman"/>
      <w:b/>
      <w:szCs w:val="20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FE0ACB"/>
    <w:rPr>
      <w:rFonts w:ascii="Times New Roman" w:eastAsia="Times New Roman" w:hAnsi="Times New Roman" w:cs="Times New Roman"/>
      <w:b/>
      <w:szCs w:val="20"/>
      <w:lang w:val="sr-Cyrl-CS" w:eastAsia="ar-SA"/>
    </w:rPr>
  </w:style>
  <w:style w:type="character" w:customStyle="1" w:styleId="Heading9Char">
    <w:name w:val="Heading 9 Char"/>
    <w:basedOn w:val="DefaultParagraphFont"/>
    <w:link w:val="Heading9"/>
    <w:rsid w:val="00FE0ACB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rsid w:val="00FE0A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ACB"/>
    <w:rPr>
      <w:rFonts w:ascii="Tahoma" w:eastAsia="Times New Roman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FE0ACB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FE0A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E0AC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0ACB"/>
  </w:style>
  <w:style w:type="paragraph" w:styleId="BodyText">
    <w:name w:val="Body Text"/>
    <w:basedOn w:val="Normal"/>
    <w:link w:val="BodyTextChar"/>
    <w:rsid w:val="00FE0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0AC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E0AC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FE0ACB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FE0A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0ACB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FE0A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E0A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FE0A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E0AC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E0A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E0ACB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35" w:lineRule="exact"/>
      <w:ind w:firstLine="1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FE0AC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E0ACB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FE0AC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FE0AC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FE0AC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FE0ACB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FE0ACB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FE0ACB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FE0ACB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FE0ACB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FE0ACB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FE0ACB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FE0ACB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 w:cs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FE0ACB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FE0ACB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FE0ACB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FE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FE0ACB"/>
    <w:rPr>
      <w:rFonts w:ascii="Wingdings" w:hAnsi="Wingdings"/>
    </w:rPr>
  </w:style>
  <w:style w:type="character" w:customStyle="1" w:styleId="WW8Num1z1">
    <w:name w:val="WW8Num1z1"/>
    <w:rsid w:val="00FE0ACB"/>
    <w:rPr>
      <w:rFonts w:ascii="Courier New" w:hAnsi="Courier New" w:cs="Courier New"/>
    </w:rPr>
  </w:style>
  <w:style w:type="character" w:customStyle="1" w:styleId="WW8Num1z3">
    <w:name w:val="WW8Num1z3"/>
    <w:rsid w:val="00FE0ACB"/>
    <w:rPr>
      <w:rFonts w:ascii="Symbol" w:hAnsi="Symbol"/>
    </w:rPr>
  </w:style>
  <w:style w:type="character" w:customStyle="1" w:styleId="WW8Num2z0">
    <w:name w:val="WW8Num2z0"/>
    <w:rsid w:val="00FE0ACB"/>
    <w:rPr>
      <w:rFonts w:ascii="Wingdings" w:hAnsi="Wingdings"/>
    </w:rPr>
  </w:style>
  <w:style w:type="character" w:customStyle="1" w:styleId="WW8Num2z1">
    <w:name w:val="WW8Num2z1"/>
    <w:rsid w:val="00FE0ACB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FE0ACB"/>
    <w:rPr>
      <w:rFonts w:ascii="Symbol" w:hAnsi="Symbol"/>
    </w:rPr>
  </w:style>
  <w:style w:type="character" w:customStyle="1" w:styleId="WW8Num2z4">
    <w:name w:val="WW8Num2z4"/>
    <w:rsid w:val="00FE0ACB"/>
    <w:rPr>
      <w:rFonts w:ascii="Courier New" w:hAnsi="Courier New" w:cs="Courier New"/>
    </w:rPr>
  </w:style>
  <w:style w:type="character" w:customStyle="1" w:styleId="WW8Num3z0">
    <w:name w:val="WW8Num3z0"/>
    <w:rsid w:val="00FE0ACB"/>
    <w:rPr>
      <w:i w:val="0"/>
    </w:rPr>
  </w:style>
  <w:style w:type="character" w:customStyle="1" w:styleId="WW8Num4z0">
    <w:name w:val="WW8Num4z0"/>
    <w:rsid w:val="00FE0ACB"/>
    <w:rPr>
      <w:rFonts w:ascii="Wingdings" w:hAnsi="Wingdings"/>
    </w:rPr>
  </w:style>
  <w:style w:type="character" w:customStyle="1" w:styleId="WW8Num4z1">
    <w:name w:val="WW8Num4z1"/>
    <w:rsid w:val="00FE0ACB"/>
    <w:rPr>
      <w:rFonts w:ascii="Courier New" w:hAnsi="Courier New" w:cs="Courier New"/>
    </w:rPr>
  </w:style>
  <w:style w:type="character" w:customStyle="1" w:styleId="WW8Num4z3">
    <w:name w:val="WW8Num4z3"/>
    <w:rsid w:val="00FE0ACB"/>
    <w:rPr>
      <w:rFonts w:ascii="Symbol" w:hAnsi="Symbol"/>
    </w:rPr>
  </w:style>
  <w:style w:type="character" w:customStyle="1" w:styleId="WW8Num5z0">
    <w:name w:val="WW8Num5z0"/>
    <w:rsid w:val="00FE0ACB"/>
    <w:rPr>
      <w:rFonts w:ascii="Wingdings" w:hAnsi="Wingdings"/>
    </w:rPr>
  </w:style>
  <w:style w:type="character" w:customStyle="1" w:styleId="WW8Num5z1">
    <w:name w:val="WW8Num5z1"/>
    <w:rsid w:val="00FE0ACB"/>
    <w:rPr>
      <w:rFonts w:ascii="Courier New" w:hAnsi="Courier New" w:cs="Courier New"/>
    </w:rPr>
  </w:style>
  <w:style w:type="character" w:customStyle="1" w:styleId="WW8Num5z3">
    <w:name w:val="WW8Num5z3"/>
    <w:rsid w:val="00FE0ACB"/>
    <w:rPr>
      <w:rFonts w:ascii="Symbol" w:hAnsi="Symbol"/>
    </w:rPr>
  </w:style>
  <w:style w:type="character" w:customStyle="1" w:styleId="WW8Num6z0">
    <w:name w:val="WW8Num6z0"/>
    <w:rsid w:val="00FE0ACB"/>
    <w:rPr>
      <w:rFonts w:ascii="Wingdings" w:hAnsi="Wingdings"/>
    </w:rPr>
  </w:style>
  <w:style w:type="character" w:customStyle="1" w:styleId="WW8Num6z1">
    <w:name w:val="WW8Num6z1"/>
    <w:rsid w:val="00FE0ACB"/>
    <w:rPr>
      <w:rFonts w:ascii="Courier New" w:hAnsi="Courier New" w:cs="Courier New"/>
    </w:rPr>
  </w:style>
  <w:style w:type="character" w:customStyle="1" w:styleId="WW8Num6z3">
    <w:name w:val="WW8Num6z3"/>
    <w:rsid w:val="00FE0ACB"/>
    <w:rPr>
      <w:rFonts w:ascii="Symbol" w:hAnsi="Symbol"/>
    </w:rPr>
  </w:style>
  <w:style w:type="character" w:customStyle="1" w:styleId="WW8Num7z0">
    <w:name w:val="WW8Num7z0"/>
    <w:rsid w:val="00FE0ACB"/>
    <w:rPr>
      <w:rFonts w:ascii="Wingdings" w:hAnsi="Wingdings"/>
    </w:rPr>
  </w:style>
  <w:style w:type="character" w:customStyle="1" w:styleId="WW8Num7z1">
    <w:name w:val="WW8Num7z1"/>
    <w:rsid w:val="00FE0ACB"/>
    <w:rPr>
      <w:rFonts w:ascii="Courier New" w:hAnsi="Courier New" w:cs="Courier New"/>
    </w:rPr>
  </w:style>
  <w:style w:type="character" w:customStyle="1" w:styleId="WW8Num7z3">
    <w:name w:val="WW8Num7z3"/>
    <w:rsid w:val="00FE0ACB"/>
    <w:rPr>
      <w:rFonts w:ascii="Symbol" w:hAnsi="Symbol"/>
    </w:rPr>
  </w:style>
  <w:style w:type="character" w:customStyle="1" w:styleId="WW8Num8z0">
    <w:name w:val="WW8Num8z0"/>
    <w:rsid w:val="00FE0ACB"/>
    <w:rPr>
      <w:rFonts w:ascii="Wingdings" w:hAnsi="Wingdings"/>
    </w:rPr>
  </w:style>
  <w:style w:type="character" w:customStyle="1" w:styleId="WW8Num8z1">
    <w:name w:val="WW8Num8z1"/>
    <w:rsid w:val="00FE0ACB"/>
    <w:rPr>
      <w:rFonts w:ascii="Courier New" w:hAnsi="Courier New" w:cs="Courier New"/>
    </w:rPr>
  </w:style>
  <w:style w:type="character" w:customStyle="1" w:styleId="WW8Num8z3">
    <w:name w:val="WW8Num8z3"/>
    <w:rsid w:val="00FE0ACB"/>
    <w:rPr>
      <w:rFonts w:ascii="Symbol" w:hAnsi="Symbol"/>
    </w:rPr>
  </w:style>
  <w:style w:type="character" w:customStyle="1" w:styleId="WW8Num9z0">
    <w:name w:val="WW8Num9z0"/>
    <w:rsid w:val="00FE0ACB"/>
    <w:rPr>
      <w:rFonts w:ascii="Symbol" w:hAnsi="Symbol"/>
      <w:sz w:val="16"/>
      <w:szCs w:val="16"/>
    </w:rPr>
  </w:style>
  <w:style w:type="character" w:customStyle="1" w:styleId="WW8Num9z1">
    <w:name w:val="WW8Num9z1"/>
    <w:rsid w:val="00FE0ACB"/>
    <w:rPr>
      <w:rFonts w:ascii="Courier New" w:hAnsi="Courier New" w:cs="Courier New"/>
    </w:rPr>
  </w:style>
  <w:style w:type="character" w:customStyle="1" w:styleId="WW8Num9z2">
    <w:name w:val="WW8Num9z2"/>
    <w:rsid w:val="00FE0ACB"/>
    <w:rPr>
      <w:rFonts w:ascii="Wingdings" w:hAnsi="Wingdings"/>
    </w:rPr>
  </w:style>
  <w:style w:type="character" w:customStyle="1" w:styleId="WW8Num9z3">
    <w:name w:val="WW8Num9z3"/>
    <w:rsid w:val="00FE0ACB"/>
    <w:rPr>
      <w:rFonts w:ascii="Symbol" w:hAnsi="Symbol"/>
    </w:rPr>
  </w:style>
  <w:style w:type="character" w:customStyle="1" w:styleId="WW8Num10z0">
    <w:name w:val="WW8Num10z0"/>
    <w:rsid w:val="00FE0ACB"/>
    <w:rPr>
      <w:rFonts w:ascii="Symbol" w:hAnsi="Symbol"/>
    </w:rPr>
  </w:style>
  <w:style w:type="character" w:customStyle="1" w:styleId="WW8Num10z1">
    <w:name w:val="WW8Num10z1"/>
    <w:rsid w:val="00FE0ACB"/>
    <w:rPr>
      <w:rFonts w:ascii="Courier New" w:hAnsi="Courier New" w:cs="Courier New"/>
    </w:rPr>
  </w:style>
  <w:style w:type="character" w:customStyle="1" w:styleId="WW8Num10z2">
    <w:name w:val="WW8Num10z2"/>
    <w:rsid w:val="00FE0ACB"/>
    <w:rPr>
      <w:rFonts w:ascii="Wingdings" w:hAnsi="Wingdings"/>
    </w:rPr>
  </w:style>
  <w:style w:type="character" w:customStyle="1" w:styleId="WW8Num11z0">
    <w:name w:val="WW8Num11z0"/>
    <w:rsid w:val="00FE0ACB"/>
    <w:rPr>
      <w:rFonts w:ascii="Symbol" w:hAnsi="Symbol"/>
      <w:sz w:val="16"/>
      <w:szCs w:val="16"/>
    </w:rPr>
  </w:style>
  <w:style w:type="character" w:customStyle="1" w:styleId="WW8Num11z1">
    <w:name w:val="WW8Num11z1"/>
    <w:rsid w:val="00FE0ACB"/>
    <w:rPr>
      <w:rFonts w:ascii="Courier New" w:hAnsi="Courier New" w:cs="Courier New"/>
    </w:rPr>
  </w:style>
  <w:style w:type="character" w:customStyle="1" w:styleId="WW8Num11z2">
    <w:name w:val="WW8Num11z2"/>
    <w:rsid w:val="00FE0ACB"/>
    <w:rPr>
      <w:rFonts w:ascii="Wingdings" w:hAnsi="Wingdings"/>
    </w:rPr>
  </w:style>
  <w:style w:type="character" w:customStyle="1" w:styleId="WW8Num11z3">
    <w:name w:val="WW8Num11z3"/>
    <w:rsid w:val="00FE0ACB"/>
    <w:rPr>
      <w:rFonts w:ascii="Symbol" w:hAnsi="Symbol"/>
    </w:rPr>
  </w:style>
  <w:style w:type="character" w:customStyle="1" w:styleId="WW8Num12z0">
    <w:name w:val="WW8Num12z0"/>
    <w:rsid w:val="00FE0ACB"/>
    <w:rPr>
      <w:rFonts w:ascii="Wingdings" w:hAnsi="Wingdings"/>
    </w:rPr>
  </w:style>
  <w:style w:type="character" w:customStyle="1" w:styleId="WW8Num12z1">
    <w:name w:val="WW8Num12z1"/>
    <w:rsid w:val="00FE0ACB"/>
    <w:rPr>
      <w:rFonts w:ascii="Courier New" w:hAnsi="Courier New" w:cs="Courier New"/>
    </w:rPr>
  </w:style>
  <w:style w:type="character" w:customStyle="1" w:styleId="WW8Num12z3">
    <w:name w:val="WW8Num12z3"/>
    <w:rsid w:val="00FE0ACB"/>
    <w:rPr>
      <w:rFonts w:ascii="Symbol" w:hAnsi="Symbol"/>
    </w:rPr>
  </w:style>
  <w:style w:type="character" w:customStyle="1" w:styleId="WW8Num13z0">
    <w:name w:val="WW8Num13z0"/>
    <w:rsid w:val="00FE0ACB"/>
    <w:rPr>
      <w:rFonts w:ascii="Wingdings" w:hAnsi="Wingdings"/>
    </w:rPr>
  </w:style>
  <w:style w:type="character" w:customStyle="1" w:styleId="WW8Num13z1">
    <w:name w:val="WW8Num13z1"/>
    <w:rsid w:val="00FE0ACB"/>
    <w:rPr>
      <w:rFonts w:ascii="Courier New" w:hAnsi="Courier New" w:cs="Courier New"/>
    </w:rPr>
  </w:style>
  <w:style w:type="character" w:customStyle="1" w:styleId="WW8Num13z3">
    <w:name w:val="WW8Num13z3"/>
    <w:rsid w:val="00FE0ACB"/>
    <w:rPr>
      <w:rFonts w:ascii="Symbol" w:hAnsi="Symbol"/>
    </w:rPr>
  </w:style>
  <w:style w:type="character" w:customStyle="1" w:styleId="WW8Num14z0">
    <w:name w:val="WW8Num14z0"/>
    <w:rsid w:val="00FE0ACB"/>
    <w:rPr>
      <w:rFonts w:ascii="Wingdings" w:hAnsi="Wingdings"/>
    </w:rPr>
  </w:style>
  <w:style w:type="character" w:customStyle="1" w:styleId="WW8Num14z1">
    <w:name w:val="WW8Num14z1"/>
    <w:rsid w:val="00FE0ACB"/>
    <w:rPr>
      <w:rFonts w:ascii="Courier New" w:hAnsi="Courier New" w:cs="Courier New"/>
    </w:rPr>
  </w:style>
  <w:style w:type="character" w:customStyle="1" w:styleId="WW8Num14z3">
    <w:name w:val="WW8Num14z3"/>
    <w:rsid w:val="00FE0ACB"/>
    <w:rPr>
      <w:rFonts w:ascii="Symbol" w:hAnsi="Symbol"/>
    </w:rPr>
  </w:style>
  <w:style w:type="character" w:customStyle="1" w:styleId="WW8Num15z0">
    <w:name w:val="WW8Num15z0"/>
    <w:rsid w:val="00FE0ACB"/>
    <w:rPr>
      <w:rFonts w:ascii="Wingdings" w:hAnsi="Wingdings"/>
    </w:rPr>
  </w:style>
  <w:style w:type="character" w:customStyle="1" w:styleId="WW8Num15z1">
    <w:name w:val="WW8Num15z1"/>
    <w:rsid w:val="00FE0ACB"/>
    <w:rPr>
      <w:rFonts w:ascii="Courier New" w:hAnsi="Courier New" w:cs="Courier New"/>
    </w:rPr>
  </w:style>
  <w:style w:type="character" w:customStyle="1" w:styleId="WW8Num15z3">
    <w:name w:val="WW8Num15z3"/>
    <w:rsid w:val="00FE0ACB"/>
    <w:rPr>
      <w:rFonts w:ascii="Symbol" w:hAnsi="Symbol"/>
    </w:rPr>
  </w:style>
  <w:style w:type="character" w:customStyle="1" w:styleId="WW8Num16z0">
    <w:name w:val="WW8Num16z0"/>
    <w:rsid w:val="00FE0ACB"/>
    <w:rPr>
      <w:b/>
    </w:rPr>
  </w:style>
  <w:style w:type="character" w:customStyle="1" w:styleId="WW8Num16z1">
    <w:name w:val="WW8Num16z1"/>
    <w:rsid w:val="00FE0ACB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FE0ACB"/>
  </w:style>
  <w:style w:type="character" w:customStyle="1" w:styleId="Simbolizanumerisanje">
    <w:name w:val="Simboli za numerisanje"/>
    <w:rsid w:val="00FE0ACB"/>
  </w:style>
  <w:style w:type="paragraph" w:customStyle="1" w:styleId="Zaglavlje">
    <w:name w:val="Zaglavlje"/>
    <w:basedOn w:val="Normal"/>
    <w:next w:val="BodyText"/>
    <w:rsid w:val="00FE0AC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FE0ACB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FE0AC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"/>
    <w:rsid w:val="00FE0AC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FE0ACB"/>
    <w:pPr>
      <w:suppressAutoHyphens/>
      <w:spacing w:after="0" w:line="240" w:lineRule="auto"/>
      <w:ind w:left="90" w:firstLine="630"/>
      <w:jc w:val="both"/>
    </w:pPr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E0ACB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rsid w:val="00FE0AC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FE0ACB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paragraph" w:styleId="NormalWeb">
    <w:name w:val="Normal (Web)"/>
    <w:basedOn w:val="Normal"/>
    <w:rsid w:val="00FE0AC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E0AC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FE0A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FE0A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FE0ACB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FE0ACB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FE0A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FE0AC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FE0A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0ACB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E0A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Char1">
    <w:name w:val="Char1"/>
    <w:basedOn w:val="Normal"/>
    <w:rsid w:val="00FE0ACB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FE0ACB"/>
  </w:style>
  <w:style w:type="paragraph" w:styleId="ListParagraph">
    <w:name w:val="List Paragraph"/>
    <w:basedOn w:val="Normal"/>
    <w:uiPriority w:val="34"/>
    <w:qFormat/>
    <w:rsid w:val="00FE0ACB"/>
    <w:pPr>
      <w:ind w:left="720"/>
      <w:contextualSpacing/>
    </w:pPr>
    <w:rPr>
      <w:rFonts w:ascii="Calibri" w:eastAsia="Calibri" w:hAnsi="Calibri" w:cs="Times New Roman"/>
      <w:noProof/>
    </w:rPr>
  </w:style>
  <w:style w:type="paragraph" w:customStyle="1" w:styleId="font5">
    <w:name w:val="font5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7">
    <w:name w:val="font7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8">
    <w:name w:val="font8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10">
    <w:name w:val="font10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1">
    <w:name w:val="font11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12">
    <w:name w:val="font12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65">
    <w:name w:val="xl65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FE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5">
    <w:name w:val="xl75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FE0A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FE0A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FE0A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1">
    <w:name w:val="xl91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FE0A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3">
    <w:name w:val="xl93"/>
    <w:basedOn w:val="Normal"/>
    <w:rsid w:val="00FE0A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7">
    <w:name w:val="xl9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9">
    <w:name w:val="xl99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Normal"/>
    <w:rsid w:val="00FE0A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Normal"/>
    <w:rsid w:val="00FE0A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3">
    <w:name w:val="xl103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rsid w:val="00FE0A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8">
    <w:name w:val="xl108"/>
    <w:basedOn w:val="Normal"/>
    <w:rsid w:val="00FE0A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9">
    <w:name w:val="xl109"/>
    <w:basedOn w:val="Normal"/>
    <w:rsid w:val="00FE0A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10">
    <w:name w:val="xl110"/>
    <w:basedOn w:val="Normal"/>
    <w:rsid w:val="00FE0A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E0A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FE0AC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al"/>
    <w:rsid w:val="00FE0A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Normal"/>
    <w:rsid w:val="00FE0A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FE0A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6">
    <w:name w:val="xl116"/>
    <w:basedOn w:val="Normal"/>
    <w:rsid w:val="00FE0A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7">
    <w:name w:val="xl117"/>
    <w:basedOn w:val="Normal"/>
    <w:rsid w:val="00FE0A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8">
    <w:name w:val="xl118"/>
    <w:basedOn w:val="Normal"/>
    <w:rsid w:val="00FE0AC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9">
    <w:name w:val="xl119"/>
    <w:basedOn w:val="Normal"/>
    <w:rsid w:val="00FE0A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20">
    <w:name w:val="xl120"/>
    <w:basedOn w:val="Normal"/>
    <w:rsid w:val="00FE0A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1">
    <w:name w:val="xl121"/>
    <w:basedOn w:val="Normal"/>
    <w:rsid w:val="00FE0A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2">
    <w:name w:val="xl122"/>
    <w:basedOn w:val="Normal"/>
    <w:rsid w:val="00FE0A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3">
    <w:name w:val="xl123"/>
    <w:basedOn w:val="Normal"/>
    <w:rsid w:val="00FE0A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Normal"/>
    <w:rsid w:val="00FE0AC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Normal"/>
    <w:rsid w:val="00FE0A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bekirs</dc:creator>
  <cp:keywords/>
  <dc:description/>
  <cp:lastModifiedBy>Sead Masovic</cp:lastModifiedBy>
  <cp:revision>4</cp:revision>
  <dcterms:created xsi:type="dcterms:W3CDTF">2023-07-17T06:22:00Z</dcterms:created>
  <dcterms:modified xsi:type="dcterms:W3CDTF">2024-01-12T13:37:00Z</dcterms:modified>
</cp:coreProperties>
</file>